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AF3E" w14:textId="1849C0A7" w:rsidR="00EB3D05" w:rsidRPr="00EB3D05" w:rsidRDefault="00B11A2D" w:rsidP="00EB3D05">
      <w:pPr>
        <w:pStyle w:val="Heading3"/>
        <w:jc w:val="center"/>
        <w:rPr>
          <w:rFonts w:ascii="Calibri" w:hAnsi="Calibri" w:cs="Calibri"/>
          <w:sz w:val="28"/>
          <w:szCs w:val="28"/>
        </w:rPr>
      </w:pPr>
      <w:r>
        <w:rPr>
          <w:rFonts w:ascii="Calibri" w:hAnsi="Calibri" w:cs="Calibri"/>
          <w:sz w:val="28"/>
          <w:szCs w:val="28"/>
        </w:rPr>
        <w:t>Innovation for Health (</w:t>
      </w:r>
      <w:r w:rsidR="00D2745A" w:rsidRPr="00411D15">
        <w:rPr>
          <w:rFonts w:ascii="Calibri" w:hAnsi="Calibri" w:cs="Calibri"/>
          <w:sz w:val="28"/>
          <w:szCs w:val="28"/>
        </w:rPr>
        <w:t>IFH</w:t>
      </w:r>
      <w:r>
        <w:rPr>
          <w:rFonts w:ascii="Calibri" w:hAnsi="Calibri" w:cs="Calibri"/>
          <w:sz w:val="28"/>
          <w:szCs w:val="28"/>
        </w:rPr>
        <w:t>)</w:t>
      </w:r>
      <w:r w:rsidR="00D2745A" w:rsidRPr="00411D15">
        <w:rPr>
          <w:rFonts w:ascii="Calibri" w:hAnsi="Calibri" w:cs="Calibri"/>
          <w:sz w:val="28"/>
          <w:szCs w:val="28"/>
        </w:rPr>
        <w:t xml:space="preserve"> </w:t>
      </w:r>
      <w:r w:rsidR="00EB3D05">
        <w:rPr>
          <w:rFonts w:ascii="Calibri" w:hAnsi="Calibri" w:cs="Calibri"/>
          <w:sz w:val="28"/>
          <w:szCs w:val="28"/>
        </w:rPr>
        <w:t>Allowable and Unallowable Expenses</w:t>
      </w:r>
      <w:r w:rsidR="00EB3D05">
        <w:rPr>
          <w:rFonts w:ascii="Calibri" w:hAnsi="Calibri" w:cs="Calibri"/>
          <w:sz w:val="28"/>
          <w:szCs w:val="28"/>
        </w:rPr>
        <w:br/>
      </w:r>
    </w:p>
    <w:p w14:paraId="5D59DF5F" w14:textId="77777777" w:rsidR="00EB3D05" w:rsidRDefault="00EB3D05" w:rsidP="00EB3D05">
      <w:pPr>
        <w:rPr>
          <w:sz w:val="12"/>
          <w:szCs w:val="12"/>
        </w:rPr>
      </w:pPr>
    </w:p>
    <w:tbl>
      <w:tblPr>
        <w:tblStyle w:val="TableGrid"/>
        <w:tblW w:w="0" w:type="auto"/>
        <w:tblLook w:val="04A0" w:firstRow="1" w:lastRow="0" w:firstColumn="1" w:lastColumn="0" w:noHBand="0" w:noVBand="1"/>
      </w:tblPr>
      <w:tblGrid>
        <w:gridCol w:w="10435"/>
      </w:tblGrid>
      <w:tr w:rsidR="00EB3D05" w14:paraId="03EBEF62" w14:textId="77777777" w:rsidTr="00EB3D05">
        <w:tc>
          <w:tcPr>
            <w:tcW w:w="10435" w:type="dxa"/>
            <w:shd w:val="clear" w:color="auto" w:fill="D9D9D9" w:themeFill="background1" w:themeFillShade="D9"/>
          </w:tcPr>
          <w:p w14:paraId="5BDB3778" w14:textId="77777777" w:rsidR="00EB3D05" w:rsidRDefault="00EB3D05" w:rsidP="005E748B">
            <w:pPr>
              <w:jc w:val="left"/>
              <w:rPr>
                <w:rFonts w:ascii="Calibri" w:hAnsi="Calibri" w:cs="Calibri"/>
                <w:b/>
                <w:bCs/>
                <w:color w:val="000000" w:themeColor="text1"/>
                <w:sz w:val="22"/>
                <w:szCs w:val="22"/>
              </w:rPr>
            </w:pPr>
            <w:r w:rsidRPr="00411D15">
              <w:rPr>
                <w:rFonts w:ascii="Calibri" w:hAnsi="Calibri" w:cs="Calibri"/>
                <w:b/>
                <w:bCs/>
                <w:color w:val="000000" w:themeColor="text1"/>
                <w:sz w:val="22"/>
                <w:szCs w:val="22"/>
              </w:rPr>
              <w:t xml:space="preserve">Unallowable Expenses: </w:t>
            </w:r>
          </w:p>
        </w:tc>
      </w:tr>
      <w:tr w:rsidR="00EB3D05" w14:paraId="1846FBDF" w14:textId="77777777" w:rsidTr="00EB3D05">
        <w:tc>
          <w:tcPr>
            <w:tcW w:w="10435" w:type="dxa"/>
          </w:tcPr>
          <w:p w14:paraId="0D4B2E97" w14:textId="77777777" w:rsidR="00EB3D05" w:rsidRPr="00E10DC5" w:rsidRDefault="00EB3D05" w:rsidP="005E748B">
            <w:pPr>
              <w:jc w:val="left"/>
              <w:rPr>
                <w:rFonts w:ascii="Calibri" w:hAnsi="Calibri" w:cs="Calibri"/>
                <w:sz w:val="22"/>
                <w:szCs w:val="22"/>
              </w:rPr>
            </w:pPr>
            <w:r w:rsidRPr="00411D15">
              <w:rPr>
                <w:rFonts w:ascii="Calibri" w:hAnsi="Calibri" w:cs="Calibri"/>
                <w:color w:val="0E101A"/>
                <w:sz w:val="22"/>
                <w:szCs w:val="22"/>
              </w:rPr>
              <w:t>Overhead/in-directs,</w:t>
            </w:r>
            <w:r w:rsidRPr="00411D15">
              <w:rPr>
                <w:rFonts w:ascii="Calibri" w:hAnsi="Calibri" w:cs="Calibri"/>
                <w:b/>
                <w:bCs/>
                <w:color w:val="0E101A"/>
                <w:sz w:val="22"/>
                <w:szCs w:val="22"/>
              </w:rPr>
              <w:t xml:space="preserve"> </w:t>
            </w:r>
            <w:r w:rsidRPr="00411D15">
              <w:rPr>
                <w:rFonts w:ascii="Calibri" w:hAnsi="Calibri" w:cs="Calibri"/>
                <w:color w:val="0E101A"/>
                <w:sz w:val="22"/>
                <w:szCs w:val="22"/>
              </w:rPr>
              <w:t xml:space="preserve">tuition remission, </w:t>
            </w:r>
            <w:r w:rsidRPr="00411D15">
              <w:rPr>
                <w:rFonts w:ascii="Calibri" w:hAnsi="Calibri" w:cs="Calibri"/>
                <w:sz w:val="22"/>
                <w:szCs w:val="22"/>
              </w:rPr>
              <w:t>routine costs (secretarial, supplies, etc.) that are a standard line item in institutional budgets</w:t>
            </w:r>
            <w:r w:rsidRPr="00411D15">
              <w:rPr>
                <w:rFonts w:ascii="Calibri" w:hAnsi="Calibri" w:cs="Calibri"/>
                <w:b/>
                <w:bCs/>
                <w:color w:val="0E101A"/>
                <w:sz w:val="22"/>
                <w:szCs w:val="22"/>
              </w:rPr>
              <w:t xml:space="preserve">, </w:t>
            </w:r>
            <w:r w:rsidRPr="00411D15">
              <w:rPr>
                <w:rFonts w:ascii="Calibri" w:hAnsi="Calibri" w:cs="Calibri"/>
                <w:sz w:val="22"/>
                <w:szCs w:val="22"/>
              </w:rPr>
              <w:t>compensation for students who are not current, degree-seeking Bradley University students, and compensation for external research collaborators/presenters/co-authors</w:t>
            </w:r>
            <w:r w:rsidRPr="005A3212">
              <w:rPr>
                <w:rFonts w:ascii="Calibri" w:hAnsi="Calibri" w:cs="Calibri"/>
                <w:sz w:val="22"/>
                <w:szCs w:val="22"/>
              </w:rPr>
              <w:t>.</w:t>
            </w:r>
          </w:p>
        </w:tc>
      </w:tr>
    </w:tbl>
    <w:p w14:paraId="1E264DC3" w14:textId="77777777" w:rsidR="00220D4A" w:rsidRPr="006B17C7" w:rsidRDefault="00220D4A" w:rsidP="006B17C7">
      <w:pPr>
        <w:rPr>
          <w:rFonts w:ascii="Calibri" w:hAnsi="Calibri" w:cs="Calibri"/>
          <w:b/>
          <w:bCs/>
          <w:color w:val="0E101A"/>
          <w:sz w:val="12"/>
          <w:szCs w:val="12"/>
        </w:rPr>
      </w:pPr>
    </w:p>
    <w:tbl>
      <w:tblPr>
        <w:tblStyle w:val="TableGrid"/>
        <w:tblW w:w="0" w:type="auto"/>
        <w:tblLook w:val="04A0" w:firstRow="1" w:lastRow="0" w:firstColumn="1" w:lastColumn="0" w:noHBand="0" w:noVBand="1"/>
      </w:tblPr>
      <w:tblGrid>
        <w:gridCol w:w="10435"/>
      </w:tblGrid>
      <w:tr w:rsidR="006B17C7" w:rsidRPr="00FF7D74" w14:paraId="6CBA5793" w14:textId="77777777" w:rsidTr="00EB3D05">
        <w:tc>
          <w:tcPr>
            <w:tcW w:w="10435" w:type="dxa"/>
            <w:shd w:val="clear" w:color="auto" w:fill="D9D9D9" w:themeFill="background1" w:themeFillShade="D9"/>
          </w:tcPr>
          <w:p w14:paraId="667334B8" w14:textId="77777777" w:rsidR="006B17C7" w:rsidRPr="00411D15" w:rsidRDefault="006B17C7" w:rsidP="00B33223">
            <w:pPr>
              <w:jc w:val="left"/>
              <w:rPr>
                <w:rFonts w:ascii="Calibri" w:hAnsi="Calibri" w:cs="Calibri"/>
                <w:color w:val="0E101A"/>
                <w:sz w:val="22"/>
                <w:szCs w:val="22"/>
              </w:rPr>
            </w:pPr>
            <w:r w:rsidRPr="00411D15">
              <w:rPr>
                <w:rFonts w:ascii="Calibri" w:hAnsi="Calibri" w:cs="Calibri"/>
                <w:b/>
                <w:bCs/>
                <w:sz w:val="22"/>
                <w:szCs w:val="22"/>
              </w:rPr>
              <w:t>Allowable Expenses</w:t>
            </w:r>
            <w:r w:rsidRPr="00411D15">
              <w:rPr>
                <w:rFonts w:ascii="Calibri" w:hAnsi="Calibri" w:cs="Calibri"/>
                <w:sz w:val="22"/>
                <w:szCs w:val="22"/>
              </w:rPr>
              <w:t>:</w:t>
            </w:r>
          </w:p>
        </w:tc>
      </w:tr>
      <w:tr w:rsidR="006B17C7" w:rsidRPr="00FF7D74" w14:paraId="494E7F5E" w14:textId="77777777" w:rsidTr="00EB3D05">
        <w:tc>
          <w:tcPr>
            <w:tcW w:w="10435" w:type="dxa"/>
          </w:tcPr>
          <w:p w14:paraId="43BE8F59" w14:textId="77777777" w:rsidR="006B17C7" w:rsidRPr="00411D15" w:rsidRDefault="006B17C7" w:rsidP="00B33223">
            <w:pPr>
              <w:spacing w:after="120"/>
              <w:jc w:val="left"/>
              <w:rPr>
                <w:rFonts w:ascii="Calibri" w:hAnsi="Calibri" w:cs="Calibri"/>
                <w:color w:val="000000" w:themeColor="text1"/>
                <w:sz w:val="22"/>
                <w:szCs w:val="22"/>
              </w:rPr>
            </w:pPr>
            <w:r w:rsidRPr="00411D15">
              <w:rPr>
                <w:rFonts w:ascii="Calibri" w:hAnsi="Calibri" w:cs="Calibri"/>
                <w:b/>
                <w:bCs/>
                <w:color w:val="000000" w:themeColor="text1"/>
                <w:sz w:val="22"/>
                <w:szCs w:val="22"/>
              </w:rPr>
              <w:t xml:space="preserve">Extra compensation for </w:t>
            </w:r>
            <w:r>
              <w:rPr>
                <w:rFonts w:ascii="Calibri" w:hAnsi="Calibri" w:cs="Calibri"/>
                <w:b/>
                <w:bCs/>
                <w:color w:val="000000" w:themeColor="text1"/>
                <w:sz w:val="22"/>
                <w:szCs w:val="22"/>
              </w:rPr>
              <w:t>P</w:t>
            </w:r>
            <w:r w:rsidRPr="00411D15">
              <w:rPr>
                <w:rFonts w:ascii="Calibri" w:hAnsi="Calibri" w:cs="Calibri"/>
                <w:b/>
                <w:bCs/>
                <w:color w:val="000000" w:themeColor="text1"/>
                <w:sz w:val="22"/>
                <w:szCs w:val="22"/>
              </w:rPr>
              <w:t xml:space="preserve">roject </w:t>
            </w:r>
            <w:r>
              <w:rPr>
                <w:rFonts w:ascii="Calibri" w:hAnsi="Calibri" w:cs="Calibri"/>
                <w:b/>
                <w:bCs/>
                <w:color w:val="000000" w:themeColor="text1"/>
                <w:sz w:val="22"/>
                <w:szCs w:val="22"/>
              </w:rPr>
              <w:t>L</w:t>
            </w:r>
            <w:r w:rsidRPr="00411D15">
              <w:rPr>
                <w:rFonts w:ascii="Calibri" w:hAnsi="Calibri" w:cs="Calibri"/>
                <w:b/>
                <w:bCs/>
                <w:color w:val="000000" w:themeColor="text1"/>
                <w:sz w:val="22"/>
                <w:szCs w:val="22"/>
              </w:rPr>
              <w:t xml:space="preserve">eads: </w:t>
            </w:r>
            <w:r w:rsidRPr="00411D15">
              <w:rPr>
                <w:rFonts w:ascii="Calibri" w:hAnsi="Calibri" w:cs="Calibri"/>
                <w:color w:val="000000" w:themeColor="text1"/>
                <w:sz w:val="22"/>
                <w:szCs w:val="22"/>
              </w:rPr>
              <w:t>All institutional extra compensation policies must be followed. At Bradley</w:t>
            </w:r>
            <w:r>
              <w:rPr>
                <w:rFonts w:ascii="Calibri" w:hAnsi="Calibri" w:cs="Calibri"/>
                <w:color w:val="000000" w:themeColor="text1"/>
                <w:sz w:val="22"/>
                <w:szCs w:val="22"/>
              </w:rPr>
              <w:t xml:space="preserve"> University</w:t>
            </w:r>
            <w:r w:rsidRPr="00411D15">
              <w:rPr>
                <w:rFonts w:ascii="Calibri" w:hAnsi="Calibri" w:cs="Calibri"/>
                <w:color w:val="000000" w:themeColor="text1"/>
                <w:sz w:val="22"/>
                <w:szCs w:val="22"/>
              </w:rPr>
              <w:t xml:space="preserve">, the appropriate policies are found in </w:t>
            </w:r>
            <w:r>
              <w:rPr>
                <w:rFonts w:ascii="Calibri" w:hAnsi="Calibri" w:cs="Calibri"/>
                <w:color w:val="000000" w:themeColor="text1"/>
                <w:sz w:val="22"/>
                <w:szCs w:val="22"/>
              </w:rPr>
              <w:t>section II.B.3.b of the</w:t>
            </w:r>
            <w:r w:rsidRPr="00411D15">
              <w:rPr>
                <w:rFonts w:ascii="Calibri" w:hAnsi="Calibri" w:cs="Calibri"/>
                <w:color w:val="000000" w:themeColor="text1"/>
                <w:sz w:val="22"/>
                <w:szCs w:val="22"/>
              </w:rPr>
              <w:t xml:space="preserve"> </w:t>
            </w:r>
            <w:hyperlink r:id="rId8" w:history="1">
              <w:r w:rsidRPr="006F0BDE">
                <w:rPr>
                  <w:rStyle w:val="Hyperlink"/>
                  <w:rFonts w:ascii="Calibri" w:hAnsi="Calibri" w:cs="Calibri"/>
                  <w:sz w:val="22"/>
                  <w:szCs w:val="22"/>
                </w:rPr>
                <w:t>F</w:t>
              </w:r>
              <w:r w:rsidRPr="00411D15">
                <w:rPr>
                  <w:rStyle w:val="Hyperlink"/>
                  <w:rFonts w:ascii="Calibri" w:hAnsi="Calibri" w:cs="Calibri"/>
                </w:rPr>
                <w:t xml:space="preserve">aculty </w:t>
              </w:r>
              <w:r w:rsidRPr="006F0BDE">
                <w:rPr>
                  <w:rStyle w:val="Hyperlink"/>
                  <w:rFonts w:ascii="Calibri" w:hAnsi="Calibri" w:cs="Calibri"/>
                  <w:sz w:val="22"/>
                  <w:szCs w:val="22"/>
                </w:rPr>
                <w:t>H</w:t>
              </w:r>
              <w:r w:rsidRPr="00411D15">
                <w:rPr>
                  <w:rStyle w:val="Hyperlink"/>
                  <w:rFonts w:ascii="Calibri" w:hAnsi="Calibri" w:cs="Calibri"/>
                </w:rPr>
                <w:t>andbook</w:t>
              </w:r>
            </w:hyperlink>
            <w:r w:rsidRPr="00411D15">
              <w:rPr>
                <w:rFonts w:ascii="Calibri" w:hAnsi="Calibri" w:cs="Calibri"/>
                <w:color w:val="000000" w:themeColor="text1"/>
                <w:sz w:val="22"/>
                <w:szCs w:val="22"/>
              </w:rPr>
              <w:t xml:space="preserve"> (the hourly rate for federally funded projects will be used) and </w:t>
            </w:r>
            <w:r>
              <w:rPr>
                <w:rFonts w:ascii="Calibri" w:hAnsi="Calibri" w:cs="Calibri"/>
                <w:color w:val="000000" w:themeColor="text1"/>
                <w:sz w:val="22"/>
                <w:szCs w:val="22"/>
              </w:rPr>
              <w:t xml:space="preserve">in </w:t>
            </w:r>
            <w:r w:rsidRPr="00411D15">
              <w:rPr>
                <w:rFonts w:ascii="Calibri" w:hAnsi="Calibri" w:cs="Calibri"/>
                <w:color w:val="000000" w:themeColor="text1"/>
                <w:sz w:val="22"/>
                <w:szCs w:val="22"/>
              </w:rPr>
              <w:t xml:space="preserve">the </w:t>
            </w:r>
            <w:hyperlink r:id="rId9" w:history="1">
              <w:r w:rsidRPr="006F0BDE">
                <w:rPr>
                  <w:rStyle w:val="Hyperlink"/>
                  <w:rFonts w:ascii="Calibri" w:hAnsi="Calibri" w:cs="Calibri"/>
                  <w:sz w:val="22"/>
                  <w:szCs w:val="22"/>
                </w:rPr>
                <w:t>E</w:t>
              </w:r>
              <w:r w:rsidRPr="00411D15">
                <w:rPr>
                  <w:rStyle w:val="Hyperlink"/>
                  <w:rFonts w:ascii="Calibri" w:hAnsi="Calibri" w:cs="Calibri"/>
                </w:rPr>
                <w:t xml:space="preserve">xempt </w:t>
              </w:r>
              <w:r w:rsidRPr="006F0BDE">
                <w:rPr>
                  <w:rStyle w:val="Hyperlink"/>
                  <w:rFonts w:ascii="Calibri" w:hAnsi="Calibri" w:cs="Calibri"/>
                  <w:sz w:val="22"/>
                  <w:szCs w:val="22"/>
                </w:rPr>
                <w:t>Employee</w:t>
              </w:r>
              <w:r w:rsidRPr="00411D15">
                <w:rPr>
                  <w:rStyle w:val="Hyperlink"/>
                  <w:rFonts w:ascii="Calibri" w:hAnsi="Calibri" w:cs="Calibri"/>
                </w:rPr>
                <w:t xml:space="preserve"> </w:t>
              </w:r>
              <w:r w:rsidRPr="006F0BDE">
                <w:rPr>
                  <w:rStyle w:val="Hyperlink"/>
                  <w:rFonts w:ascii="Calibri" w:hAnsi="Calibri" w:cs="Calibri"/>
                  <w:sz w:val="22"/>
                  <w:szCs w:val="22"/>
                </w:rPr>
                <w:t>H</w:t>
              </w:r>
              <w:r w:rsidRPr="00411D15">
                <w:rPr>
                  <w:rStyle w:val="Hyperlink"/>
                  <w:rFonts w:ascii="Calibri" w:hAnsi="Calibri" w:cs="Calibri"/>
                </w:rPr>
                <w:t>andbook</w:t>
              </w:r>
            </w:hyperlink>
            <w:r w:rsidRPr="00411D15">
              <w:rPr>
                <w:rFonts w:ascii="Calibri" w:hAnsi="Calibri" w:cs="Calibri"/>
                <w:color w:val="000000" w:themeColor="text1"/>
                <w:sz w:val="22"/>
                <w:szCs w:val="22"/>
              </w:rPr>
              <w:t xml:space="preserve">. </w:t>
            </w:r>
          </w:p>
          <w:p w14:paraId="008E275F" w14:textId="77777777" w:rsidR="006B17C7" w:rsidRPr="00411D15" w:rsidRDefault="006B17C7" w:rsidP="00B33223">
            <w:pPr>
              <w:spacing w:after="120"/>
              <w:jc w:val="left"/>
              <w:rPr>
                <w:rFonts w:ascii="Calibri" w:hAnsi="Calibri" w:cs="Calibri"/>
                <w:color w:val="000000" w:themeColor="text1"/>
                <w:sz w:val="22"/>
                <w:szCs w:val="22"/>
              </w:rPr>
            </w:pPr>
            <w:r w:rsidRPr="00411D15">
              <w:rPr>
                <w:rFonts w:ascii="Calibri" w:hAnsi="Calibri" w:cs="Calibri"/>
                <w:b/>
                <w:color w:val="0E101A"/>
                <w:sz w:val="22"/>
                <w:szCs w:val="22"/>
              </w:rPr>
              <w:t xml:space="preserve">Course/Duty Releases: </w:t>
            </w:r>
            <w:r w:rsidRPr="00257889">
              <w:rPr>
                <w:rFonts w:ascii="Calibri" w:hAnsi="Calibri" w:cs="Calibri"/>
                <w:bCs/>
                <w:color w:val="0E101A"/>
                <w:sz w:val="22"/>
                <w:szCs w:val="22"/>
              </w:rPr>
              <w:t>These are c</w:t>
            </w:r>
            <w:r w:rsidRPr="00411D15">
              <w:rPr>
                <w:rFonts w:ascii="Calibri" w:hAnsi="Calibri" w:cs="Calibri"/>
                <w:color w:val="0E101A"/>
                <w:sz w:val="22"/>
                <w:szCs w:val="22"/>
              </w:rPr>
              <w:t xml:space="preserve">osts that will be incurred by the unit to cover the release from normal duties (e.g., teaching, clinical hours, etc.) </w:t>
            </w:r>
            <w:r w:rsidRPr="00411D15">
              <w:rPr>
                <w:rFonts w:ascii="Calibri" w:hAnsi="Calibri" w:cs="Calibri"/>
                <w:color w:val="000000" w:themeColor="text1"/>
                <w:sz w:val="22"/>
                <w:szCs w:val="22"/>
              </w:rPr>
              <w:t>Institutional approval must be obtained before the application is submitted. A letter of support from your supervisor must be included with the budget justification.</w:t>
            </w:r>
          </w:p>
          <w:p w14:paraId="68891969" w14:textId="77777777" w:rsidR="006B17C7" w:rsidRPr="00411D15" w:rsidRDefault="006B17C7" w:rsidP="00B33223">
            <w:pPr>
              <w:spacing w:after="120"/>
              <w:jc w:val="left"/>
              <w:rPr>
                <w:rFonts w:ascii="Calibri" w:hAnsi="Calibri" w:cs="Calibri"/>
                <w:color w:val="0E101A"/>
                <w:sz w:val="22"/>
                <w:szCs w:val="22"/>
              </w:rPr>
            </w:pPr>
            <w:r w:rsidRPr="00411D15">
              <w:rPr>
                <w:rFonts w:ascii="Calibri" w:hAnsi="Calibri" w:cs="Calibri"/>
                <w:b/>
                <w:bCs/>
                <w:i/>
                <w:iCs/>
                <w:color w:val="0E101A"/>
                <w:sz w:val="22"/>
                <w:szCs w:val="22"/>
              </w:rPr>
              <w:t xml:space="preserve">Undergraduate or Graduate Student Wages: </w:t>
            </w:r>
            <w:r w:rsidRPr="00257889">
              <w:rPr>
                <w:rFonts w:ascii="Calibri" w:hAnsi="Calibri" w:cs="Calibri"/>
                <w:i/>
                <w:iCs/>
                <w:color w:val="0E101A"/>
                <w:sz w:val="22"/>
                <w:szCs w:val="22"/>
              </w:rPr>
              <w:t xml:space="preserve">This is </w:t>
            </w:r>
            <w:r w:rsidRPr="00257889">
              <w:rPr>
                <w:rFonts w:ascii="Calibri" w:hAnsi="Calibri" w:cs="Calibri"/>
                <w:color w:val="0E101A"/>
                <w:sz w:val="22"/>
                <w:szCs w:val="22"/>
              </w:rPr>
              <w:t>c</w:t>
            </w:r>
            <w:r w:rsidRPr="00411D15">
              <w:rPr>
                <w:rFonts w:ascii="Calibri" w:hAnsi="Calibri" w:cs="Calibri"/>
                <w:color w:val="0E101A"/>
                <w:sz w:val="22"/>
                <w:szCs w:val="22"/>
              </w:rPr>
              <w:t>ompensation at an hourly rate for current, degree-seeking Bradley University undergraduate and graduate students, regardless of enrollment modality, to facilitate their engagement on the project. </w:t>
            </w:r>
          </w:p>
          <w:p w14:paraId="6EA0D04C" w14:textId="77777777" w:rsidR="006B17C7" w:rsidRPr="00411D15" w:rsidRDefault="006B17C7" w:rsidP="00B33223">
            <w:pPr>
              <w:pStyle w:val="ListParagraph"/>
              <w:numPr>
                <w:ilvl w:val="0"/>
                <w:numId w:val="18"/>
              </w:numPr>
              <w:jc w:val="left"/>
              <w:rPr>
                <w:i/>
                <w:iCs/>
                <w:color w:val="000000"/>
              </w:rPr>
            </w:pPr>
            <w:r w:rsidRPr="00411D15">
              <w:t xml:space="preserve">It is the expectation that students supported by grants will earn at least Illinois’ state minimum wage rate.  </w:t>
            </w:r>
            <w:r w:rsidRPr="00411D15">
              <w:rPr>
                <w:i/>
                <w:iCs/>
                <w:color w:val="000000"/>
              </w:rPr>
              <w:t xml:space="preserve"> </w:t>
            </w:r>
          </w:p>
          <w:p w14:paraId="5F90991B" w14:textId="39F68FE1" w:rsidR="006B17C7" w:rsidRPr="00257889" w:rsidRDefault="006B17C7" w:rsidP="00257889">
            <w:pPr>
              <w:pStyle w:val="ListParagraph"/>
              <w:numPr>
                <w:ilvl w:val="0"/>
                <w:numId w:val="18"/>
              </w:numPr>
              <w:spacing w:after="120"/>
              <w:jc w:val="left"/>
            </w:pPr>
            <w:r w:rsidRPr="00411D15">
              <w:rPr>
                <w:b/>
              </w:rPr>
              <w:t xml:space="preserve">Bradley University Policy: </w:t>
            </w:r>
            <w:r w:rsidRPr="00411D15">
              <w:t>Students cannot receive both compensation and course credit for the same effort.  Students may receive compensation if the duties are in addition to their course work as students. There must be a clear delineation between the course work and the duties being performed for compensation. Work duties versus course assignments must be specifically documented and there can be </w:t>
            </w:r>
            <w:r w:rsidRPr="00411D15">
              <w:rPr>
                <w:b/>
              </w:rPr>
              <w:t>no</w:t>
            </w:r>
            <w:r w:rsidRPr="00411D15">
              <w:t> overlap of responsibilities or the appearance thereof.</w:t>
            </w:r>
          </w:p>
        </w:tc>
      </w:tr>
      <w:tr w:rsidR="00257889" w:rsidRPr="00FF7D74" w14:paraId="688B86B3" w14:textId="77777777" w:rsidTr="00EB3D05">
        <w:tc>
          <w:tcPr>
            <w:tcW w:w="10435" w:type="dxa"/>
          </w:tcPr>
          <w:p w14:paraId="5B550AC8" w14:textId="677A98D8" w:rsidR="00257889" w:rsidRPr="00257889" w:rsidRDefault="00257889" w:rsidP="00257889">
            <w:pPr>
              <w:spacing w:after="120"/>
              <w:jc w:val="left"/>
              <w:rPr>
                <w:rFonts w:ascii="Calibri" w:hAnsi="Calibri" w:cs="Calibri"/>
                <w:color w:val="0E101A"/>
                <w:sz w:val="22"/>
                <w:szCs w:val="22"/>
              </w:rPr>
            </w:pPr>
            <w:r w:rsidRPr="00411D15">
              <w:rPr>
                <w:rFonts w:ascii="Calibri" w:hAnsi="Calibri" w:cs="Calibri"/>
                <w:b/>
                <w:bCs/>
                <w:i/>
                <w:iCs/>
                <w:color w:val="0E101A"/>
                <w:sz w:val="22"/>
                <w:szCs w:val="22"/>
              </w:rPr>
              <w:t>Consultants/contractual services: </w:t>
            </w:r>
            <w:r>
              <w:rPr>
                <w:rFonts w:ascii="Calibri" w:hAnsi="Calibri" w:cs="Calibri"/>
                <w:color w:val="0E101A"/>
                <w:sz w:val="22"/>
                <w:szCs w:val="22"/>
              </w:rPr>
              <w:t>These are s</w:t>
            </w:r>
            <w:r w:rsidRPr="00411D15">
              <w:rPr>
                <w:rFonts w:ascii="Calibri" w:hAnsi="Calibri" w:cs="Calibri"/>
                <w:color w:val="0E101A"/>
                <w:sz w:val="22"/>
                <w:szCs w:val="22"/>
              </w:rPr>
              <w:t>ervices necessary for the proposed project</w:t>
            </w:r>
            <w:r>
              <w:rPr>
                <w:rFonts w:ascii="Calibri" w:hAnsi="Calibri" w:cs="Calibri"/>
                <w:color w:val="0E101A"/>
                <w:sz w:val="22"/>
                <w:szCs w:val="22"/>
              </w:rPr>
              <w:t>,</w:t>
            </w:r>
            <w:r w:rsidRPr="00411D15">
              <w:rPr>
                <w:rFonts w:ascii="Calibri" w:hAnsi="Calibri" w:cs="Calibri"/>
                <w:color w:val="0E101A"/>
                <w:sz w:val="22"/>
                <w:szCs w:val="22"/>
              </w:rPr>
              <w:t xml:space="preserve"> such as interpretation or translation services, transcription or annotation services, printing costs, use of</w:t>
            </w:r>
            <w:r>
              <w:rPr>
                <w:rFonts w:ascii="Calibri" w:hAnsi="Calibri" w:cs="Calibri"/>
                <w:color w:val="0E101A"/>
                <w:sz w:val="22"/>
                <w:szCs w:val="22"/>
              </w:rPr>
              <w:t xml:space="preserve"> </w:t>
            </w:r>
            <w:r w:rsidRPr="0090614E">
              <w:rPr>
                <w:rFonts w:ascii="Calibri" w:hAnsi="Calibri" w:cs="Calibri"/>
                <w:color w:val="0E101A"/>
                <w:sz w:val="22"/>
                <w:szCs w:val="22"/>
              </w:rPr>
              <w:t xml:space="preserve">equipment </w:t>
            </w:r>
            <w:r>
              <w:rPr>
                <w:rFonts w:ascii="Calibri" w:hAnsi="Calibri" w:cs="Calibri"/>
                <w:color w:val="0E101A"/>
                <w:sz w:val="22"/>
                <w:szCs w:val="22"/>
              </w:rPr>
              <w:t xml:space="preserve">and </w:t>
            </w:r>
            <w:r w:rsidRPr="0090614E">
              <w:rPr>
                <w:rFonts w:ascii="Calibri" w:hAnsi="Calibri" w:cs="Calibri"/>
                <w:color w:val="0E101A"/>
                <w:sz w:val="22"/>
                <w:szCs w:val="22"/>
              </w:rPr>
              <w:t>instrumentation</w:t>
            </w:r>
            <w:r w:rsidRPr="006841D5">
              <w:rPr>
                <w:rFonts w:ascii="Calibri" w:hAnsi="Calibri" w:cs="Calibri"/>
                <w:color w:val="0E101A"/>
                <w:sz w:val="22"/>
                <w:szCs w:val="22"/>
              </w:rPr>
              <w:t xml:space="preserve"> at another facility</w:t>
            </w:r>
            <w:r>
              <w:rPr>
                <w:rFonts w:ascii="Calibri" w:hAnsi="Calibri" w:cs="Calibri"/>
                <w:color w:val="0E101A"/>
                <w:sz w:val="22"/>
                <w:szCs w:val="22"/>
              </w:rPr>
              <w:t xml:space="preserve">, or </w:t>
            </w:r>
            <w:r w:rsidRPr="00411D15">
              <w:rPr>
                <w:rFonts w:ascii="Calibri" w:hAnsi="Calibri" w:cs="Calibri"/>
                <w:color w:val="0E101A"/>
                <w:sz w:val="22"/>
                <w:szCs w:val="22"/>
              </w:rPr>
              <w:t xml:space="preserve">submission of samples </w:t>
            </w:r>
            <w:r>
              <w:rPr>
                <w:rFonts w:ascii="Calibri" w:hAnsi="Calibri" w:cs="Calibri"/>
                <w:color w:val="0E101A"/>
                <w:sz w:val="22"/>
                <w:szCs w:val="22"/>
              </w:rPr>
              <w:t>for analysis by an outside vendor</w:t>
            </w:r>
            <w:r w:rsidRPr="00411D15">
              <w:rPr>
                <w:rFonts w:ascii="Calibri" w:hAnsi="Calibri" w:cs="Calibri"/>
                <w:color w:val="0E101A"/>
                <w:sz w:val="22"/>
                <w:szCs w:val="22"/>
              </w:rPr>
              <w:t>.</w:t>
            </w:r>
          </w:p>
        </w:tc>
      </w:tr>
      <w:tr w:rsidR="00257889" w:rsidRPr="00FF7D74" w14:paraId="1837F22C" w14:textId="77777777" w:rsidTr="00EB3D05">
        <w:tc>
          <w:tcPr>
            <w:tcW w:w="10435" w:type="dxa"/>
          </w:tcPr>
          <w:p w14:paraId="406906D5" w14:textId="6EEB2E34" w:rsidR="00257889" w:rsidRPr="00411D15" w:rsidRDefault="00257889" w:rsidP="00257889">
            <w:pPr>
              <w:spacing w:after="120"/>
              <w:jc w:val="left"/>
              <w:rPr>
                <w:rFonts w:ascii="Calibri" w:hAnsi="Calibri" w:cs="Calibri"/>
                <w:b/>
                <w:bCs/>
                <w:i/>
                <w:iCs/>
                <w:color w:val="0E101A"/>
                <w:sz w:val="22"/>
                <w:szCs w:val="22"/>
              </w:rPr>
            </w:pPr>
            <w:r w:rsidRPr="00411D15">
              <w:rPr>
                <w:rFonts w:ascii="Calibri" w:hAnsi="Calibri" w:cs="Calibri"/>
                <w:b/>
                <w:bCs/>
                <w:i/>
                <w:iCs/>
                <w:color w:val="0E101A"/>
                <w:sz w:val="22"/>
                <w:szCs w:val="22"/>
              </w:rPr>
              <w:t>Participant Costs:</w:t>
            </w:r>
            <w:r w:rsidRPr="00411D15">
              <w:rPr>
                <w:rFonts w:ascii="Calibri" w:hAnsi="Calibri" w:cs="Calibri"/>
                <w:color w:val="0E101A"/>
                <w:sz w:val="22"/>
                <w:szCs w:val="22"/>
              </w:rPr>
              <w:t> </w:t>
            </w:r>
            <w:r>
              <w:rPr>
                <w:rFonts w:ascii="Calibri" w:hAnsi="Calibri" w:cs="Calibri"/>
                <w:color w:val="0E101A"/>
                <w:sz w:val="22"/>
                <w:szCs w:val="22"/>
              </w:rPr>
              <w:t>These are c</w:t>
            </w:r>
            <w:r w:rsidRPr="00411D15">
              <w:rPr>
                <w:rFonts w:ascii="Calibri" w:hAnsi="Calibri" w:cs="Calibri"/>
                <w:color w:val="0E101A"/>
                <w:sz w:val="22"/>
                <w:szCs w:val="22"/>
              </w:rPr>
              <w:t xml:space="preserve">osts related to involving human subjects in a study, such as participation incentives, fees for the purchase/use of a survey instrument or assessment tool, or other </w:t>
            </w:r>
            <w:r>
              <w:rPr>
                <w:rFonts w:ascii="Calibri" w:hAnsi="Calibri" w:cs="Calibri"/>
                <w:color w:val="0E101A"/>
                <w:sz w:val="22"/>
                <w:szCs w:val="22"/>
              </w:rPr>
              <w:t xml:space="preserve">expenses </w:t>
            </w:r>
            <w:r w:rsidRPr="00411D15">
              <w:rPr>
                <w:rFonts w:ascii="Calibri" w:hAnsi="Calibri" w:cs="Calibri"/>
                <w:color w:val="0E101A"/>
                <w:sz w:val="22"/>
                <w:szCs w:val="22"/>
              </w:rPr>
              <w:t xml:space="preserve">that are directly related to the involvement of human subjects </w:t>
            </w:r>
            <w:r>
              <w:rPr>
                <w:rFonts w:ascii="Calibri" w:hAnsi="Calibri" w:cs="Calibri"/>
                <w:color w:val="0E101A"/>
                <w:sz w:val="22"/>
                <w:szCs w:val="22"/>
              </w:rPr>
              <w:t xml:space="preserve">in </w:t>
            </w:r>
            <w:r w:rsidRPr="00411D15">
              <w:rPr>
                <w:rFonts w:ascii="Calibri" w:hAnsi="Calibri" w:cs="Calibri"/>
                <w:color w:val="0E101A"/>
                <w:sz w:val="22"/>
                <w:szCs w:val="22"/>
              </w:rPr>
              <w:t>an approved study. </w:t>
            </w:r>
          </w:p>
        </w:tc>
      </w:tr>
      <w:tr w:rsidR="006B17C7" w:rsidRPr="00FF7D74" w14:paraId="382D7653" w14:textId="77777777" w:rsidTr="00EB3D05">
        <w:tc>
          <w:tcPr>
            <w:tcW w:w="10435" w:type="dxa"/>
          </w:tcPr>
          <w:p w14:paraId="63791BD4" w14:textId="3C287D32" w:rsidR="006B17C7" w:rsidRPr="00411D15" w:rsidRDefault="006B17C7" w:rsidP="00B33223">
            <w:pPr>
              <w:spacing w:after="120"/>
              <w:jc w:val="left"/>
              <w:rPr>
                <w:rFonts w:ascii="Calibri" w:hAnsi="Calibri" w:cs="Calibri"/>
                <w:color w:val="0E101A"/>
                <w:sz w:val="22"/>
                <w:szCs w:val="22"/>
              </w:rPr>
            </w:pPr>
            <w:r w:rsidRPr="00411D15">
              <w:rPr>
                <w:rFonts w:ascii="Calibri" w:hAnsi="Calibri" w:cs="Calibri"/>
                <w:b/>
                <w:bCs/>
                <w:i/>
                <w:iCs/>
                <w:color w:val="0E101A"/>
                <w:sz w:val="22"/>
                <w:szCs w:val="22"/>
              </w:rPr>
              <w:t>Materials and Supplies:</w:t>
            </w:r>
            <w:r w:rsidRPr="00411D15">
              <w:rPr>
                <w:rFonts w:ascii="Calibri" w:hAnsi="Calibri" w:cs="Calibri"/>
                <w:color w:val="0E101A"/>
                <w:sz w:val="22"/>
                <w:szCs w:val="22"/>
              </w:rPr>
              <w:t> Items required to conduct the project (e.g., expendable materials and supplies that are less than $5,000)</w:t>
            </w:r>
            <w:r>
              <w:rPr>
                <w:rFonts w:ascii="Calibri" w:hAnsi="Calibri" w:cs="Calibri"/>
                <w:color w:val="0E101A"/>
                <w:sz w:val="22"/>
                <w:szCs w:val="22"/>
              </w:rPr>
              <w:t xml:space="preserve">. </w:t>
            </w:r>
            <w:r w:rsidRPr="00411D15">
              <w:rPr>
                <w:rFonts w:ascii="Calibri" w:hAnsi="Calibri" w:cs="Calibri"/>
                <w:color w:val="0E101A"/>
                <w:sz w:val="22"/>
                <w:szCs w:val="22"/>
              </w:rPr>
              <w:t xml:space="preserve"> </w:t>
            </w:r>
            <w:r>
              <w:rPr>
                <w:rFonts w:ascii="Calibri" w:hAnsi="Calibri" w:cs="Calibri"/>
                <w:color w:val="0E101A"/>
                <w:sz w:val="22"/>
                <w:szCs w:val="22"/>
              </w:rPr>
              <w:t>–</w:t>
            </w:r>
            <w:r w:rsidRPr="00411D15">
              <w:rPr>
                <w:rFonts w:ascii="Calibri" w:hAnsi="Calibri" w:cs="Calibri"/>
                <w:color w:val="0E101A"/>
                <w:sz w:val="22"/>
                <w:szCs w:val="22"/>
              </w:rPr>
              <w:t xml:space="preserve"> </w:t>
            </w:r>
            <w:r>
              <w:rPr>
                <w:rFonts w:ascii="Calibri" w:hAnsi="Calibri" w:cs="Calibri"/>
                <w:color w:val="0E101A"/>
                <w:sz w:val="22"/>
                <w:szCs w:val="22"/>
              </w:rPr>
              <w:t xml:space="preserve">It </w:t>
            </w:r>
            <w:r w:rsidR="00257889">
              <w:rPr>
                <w:rFonts w:ascii="Calibri" w:hAnsi="Calibri" w:cs="Calibri"/>
                <w:color w:val="0E101A"/>
                <w:sz w:val="22"/>
                <w:szCs w:val="22"/>
              </w:rPr>
              <w:t>may</w:t>
            </w:r>
            <w:r w:rsidRPr="00411D15">
              <w:rPr>
                <w:rFonts w:ascii="Calibri" w:hAnsi="Calibri" w:cs="Calibri"/>
                <w:color w:val="0E101A"/>
                <w:sz w:val="22"/>
                <w:szCs w:val="22"/>
              </w:rPr>
              <w:t xml:space="preserve"> not be used to replenish supplies necessary for other </w:t>
            </w:r>
            <w:r>
              <w:rPr>
                <w:rFonts w:ascii="Calibri" w:hAnsi="Calibri" w:cs="Calibri"/>
                <w:color w:val="0E101A"/>
                <w:sz w:val="22"/>
                <w:szCs w:val="22"/>
              </w:rPr>
              <w:t xml:space="preserve">ongoing </w:t>
            </w:r>
            <w:r w:rsidRPr="00411D15">
              <w:rPr>
                <w:rFonts w:ascii="Calibri" w:hAnsi="Calibri" w:cs="Calibri"/>
                <w:color w:val="0E101A"/>
                <w:sz w:val="22"/>
                <w:szCs w:val="22"/>
              </w:rPr>
              <w:t>projects</w:t>
            </w:r>
            <w:r w:rsidR="00257889">
              <w:rPr>
                <w:rFonts w:ascii="Calibri" w:hAnsi="Calibri" w:cs="Calibri"/>
                <w:color w:val="0E101A"/>
                <w:sz w:val="22"/>
                <w:szCs w:val="22"/>
              </w:rPr>
              <w:t>.</w:t>
            </w:r>
          </w:p>
        </w:tc>
      </w:tr>
      <w:tr w:rsidR="00257889" w:rsidRPr="00FF7D74" w14:paraId="6080D60E" w14:textId="77777777" w:rsidTr="00EB3D05">
        <w:tc>
          <w:tcPr>
            <w:tcW w:w="10435" w:type="dxa"/>
          </w:tcPr>
          <w:p w14:paraId="5674F8FD" w14:textId="3F0302E2" w:rsidR="00257889" w:rsidRPr="00411D15" w:rsidRDefault="00257889" w:rsidP="00257889">
            <w:pPr>
              <w:spacing w:after="120"/>
              <w:jc w:val="left"/>
              <w:rPr>
                <w:rFonts w:ascii="Calibri" w:hAnsi="Calibri" w:cs="Calibri"/>
                <w:b/>
                <w:bCs/>
                <w:i/>
                <w:iCs/>
                <w:color w:val="0E101A"/>
                <w:sz w:val="22"/>
                <w:szCs w:val="22"/>
              </w:rPr>
            </w:pPr>
            <w:r w:rsidRPr="00411D15">
              <w:rPr>
                <w:rFonts w:ascii="Calibri" w:hAnsi="Calibri" w:cs="Calibri"/>
                <w:b/>
                <w:bCs/>
                <w:i/>
                <w:iCs/>
                <w:color w:val="0E101A"/>
                <w:sz w:val="22"/>
                <w:szCs w:val="22"/>
              </w:rPr>
              <w:t>Travel</w:t>
            </w:r>
            <w:r>
              <w:rPr>
                <w:rFonts w:ascii="Calibri" w:hAnsi="Calibri" w:cs="Calibri"/>
                <w:b/>
                <w:bCs/>
                <w:i/>
                <w:iCs/>
                <w:color w:val="0E101A"/>
                <w:sz w:val="22"/>
                <w:szCs w:val="22"/>
              </w:rPr>
              <w:t xml:space="preserve"> Expenses</w:t>
            </w:r>
            <w:r w:rsidRPr="00411D15">
              <w:rPr>
                <w:rFonts w:ascii="Calibri" w:hAnsi="Calibri" w:cs="Calibri"/>
                <w:b/>
                <w:bCs/>
                <w:i/>
                <w:iCs/>
                <w:color w:val="0E101A"/>
                <w:sz w:val="22"/>
                <w:szCs w:val="22"/>
              </w:rPr>
              <w:t>:</w:t>
            </w:r>
            <w:r w:rsidRPr="00411D15">
              <w:rPr>
                <w:rFonts w:ascii="Calibri" w:hAnsi="Calibri" w:cs="Calibri"/>
                <w:color w:val="0E101A"/>
                <w:sz w:val="22"/>
                <w:szCs w:val="22"/>
              </w:rPr>
              <w:t> </w:t>
            </w:r>
            <w:r>
              <w:rPr>
                <w:rFonts w:ascii="Calibri" w:hAnsi="Calibri" w:cs="Calibri"/>
                <w:color w:val="0E101A"/>
                <w:sz w:val="22"/>
                <w:szCs w:val="22"/>
              </w:rPr>
              <w:t>Includes r</w:t>
            </w:r>
            <w:r w:rsidRPr="00411D15">
              <w:rPr>
                <w:rFonts w:ascii="Calibri" w:hAnsi="Calibri" w:cs="Calibri"/>
                <w:color w:val="0E101A"/>
                <w:sz w:val="22"/>
                <w:szCs w:val="22"/>
              </w:rPr>
              <w:t xml:space="preserve">egistration </w:t>
            </w:r>
            <w:r>
              <w:rPr>
                <w:rFonts w:ascii="Calibri" w:hAnsi="Calibri" w:cs="Calibri"/>
                <w:color w:val="0E101A"/>
                <w:sz w:val="22"/>
                <w:szCs w:val="22"/>
              </w:rPr>
              <w:t xml:space="preserve">fees </w:t>
            </w:r>
            <w:r w:rsidRPr="00411D15">
              <w:rPr>
                <w:rFonts w:ascii="Calibri" w:hAnsi="Calibri" w:cs="Calibri"/>
                <w:color w:val="0E101A"/>
                <w:sz w:val="22"/>
                <w:szCs w:val="22"/>
              </w:rPr>
              <w:t>and travel expenses necessary to present findings at conferences and professional meetings, as well as travel expenses required for the performance of the project (</w:t>
            </w:r>
            <w:r>
              <w:rPr>
                <w:rFonts w:ascii="Calibri" w:hAnsi="Calibri" w:cs="Calibri"/>
                <w:color w:val="0E101A"/>
                <w:sz w:val="22"/>
                <w:szCs w:val="22"/>
              </w:rPr>
              <w:t xml:space="preserve">e.g., </w:t>
            </w:r>
            <w:r w:rsidRPr="00411D15">
              <w:rPr>
                <w:rFonts w:ascii="Calibri" w:hAnsi="Calibri" w:cs="Calibri"/>
                <w:color w:val="0E101A"/>
                <w:sz w:val="22"/>
                <w:szCs w:val="22"/>
              </w:rPr>
              <w:t>fieldwork, access to archives, service sites, etc.). </w:t>
            </w:r>
          </w:p>
        </w:tc>
      </w:tr>
      <w:tr w:rsidR="006B17C7" w:rsidRPr="00FF7D74" w14:paraId="58F668CB" w14:textId="77777777" w:rsidTr="00EB3D05">
        <w:tc>
          <w:tcPr>
            <w:tcW w:w="10435" w:type="dxa"/>
          </w:tcPr>
          <w:p w14:paraId="43210D9E" w14:textId="77777777" w:rsidR="006B17C7" w:rsidRPr="00346ADC" w:rsidRDefault="006B17C7" w:rsidP="00257889">
            <w:pPr>
              <w:pStyle w:val="CommentText"/>
              <w:jc w:val="left"/>
              <w:rPr>
                <w:rFonts w:ascii="Calibri" w:hAnsi="Calibri" w:cs="Calibri"/>
                <w:color w:val="0E101A"/>
                <w:sz w:val="22"/>
                <w:szCs w:val="22"/>
              </w:rPr>
            </w:pPr>
            <w:r w:rsidRPr="00411D15">
              <w:rPr>
                <w:rFonts w:ascii="Calibri" w:hAnsi="Calibri" w:cs="Calibri"/>
                <w:b/>
                <w:bCs/>
                <w:i/>
                <w:iCs/>
                <w:color w:val="0E101A"/>
                <w:sz w:val="22"/>
                <w:szCs w:val="22"/>
              </w:rPr>
              <w:t>Capital Equipment or Instrumentation:</w:t>
            </w:r>
            <w:r w:rsidRPr="00411D15">
              <w:rPr>
                <w:rFonts w:ascii="Calibri" w:hAnsi="Calibri" w:cs="Calibri"/>
                <w:color w:val="0E101A"/>
                <w:sz w:val="22"/>
                <w:szCs w:val="22"/>
              </w:rPr>
              <w:t xml:space="preserve">  </w:t>
            </w:r>
            <w:r w:rsidRPr="00346ADC">
              <w:rPr>
                <w:rFonts w:ascii="Calibri" w:hAnsi="Calibri" w:cs="Calibri"/>
                <w:color w:val="0E101A"/>
                <w:sz w:val="22"/>
                <w:szCs w:val="22"/>
              </w:rPr>
              <w:t>Before capital equipment can be purchased using Innovation for Health (IFH) funding, the investigators must address the following items. (Capital equipment is defined as non-disposable items valued over $4,999.99.) When answering the questions, state plans for both duri</w:t>
            </w:r>
            <w:r>
              <w:rPr>
                <w:rFonts w:ascii="Calibri" w:hAnsi="Calibri" w:cs="Calibri"/>
                <w:color w:val="0E101A"/>
                <w:sz w:val="22"/>
                <w:szCs w:val="22"/>
              </w:rPr>
              <w:t xml:space="preserve">ng and after the award period. </w:t>
            </w:r>
            <w:r w:rsidRPr="00346ADC">
              <w:rPr>
                <w:rFonts w:ascii="Calibri" w:hAnsi="Calibri" w:cs="Calibri"/>
                <w:color w:val="0E101A"/>
                <w:sz w:val="22"/>
                <w:szCs w:val="22"/>
              </w:rPr>
              <w:t xml:space="preserve"> </w:t>
            </w:r>
          </w:p>
          <w:p w14:paraId="66143A77"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Where will the device be housed?</w:t>
            </w:r>
          </w:p>
          <w:p w14:paraId="3113DFCB"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How will access be granted to users from both institutions?</w:t>
            </w:r>
          </w:p>
          <w:p w14:paraId="627D2C2F"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 xml:space="preserve">Who will maintain the device? </w:t>
            </w:r>
          </w:p>
          <w:p w14:paraId="7715052D" w14:textId="77777777" w:rsidR="006B17C7" w:rsidRPr="00346ADC" w:rsidRDefault="006B17C7" w:rsidP="008678B0">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Who is responsible for repairs to the device?</w:t>
            </w:r>
          </w:p>
          <w:p w14:paraId="1CFC19D5" w14:textId="63249C6A" w:rsidR="006B17C7" w:rsidRDefault="006B17C7" w:rsidP="00257889">
            <w:pPr>
              <w:pStyle w:val="CommentText"/>
              <w:numPr>
                <w:ilvl w:val="0"/>
                <w:numId w:val="32"/>
              </w:numPr>
              <w:spacing w:after="120"/>
              <w:jc w:val="left"/>
              <w:rPr>
                <w:rFonts w:ascii="Calibri" w:hAnsi="Calibri" w:cs="Calibri"/>
                <w:color w:val="0E101A"/>
                <w:sz w:val="22"/>
                <w:szCs w:val="22"/>
              </w:rPr>
            </w:pPr>
            <w:r w:rsidRPr="00346ADC">
              <w:rPr>
                <w:rFonts w:ascii="Calibri" w:hAnsi="Calibri" w:cs="Calibri"/>
                <w:color w:val="0E101A"/>
                <w:sz w:val="22"/>
                <w:szCs w:val="22"/>
              </w:rPr>
              <w:t xml:space="preserve">Who will determine when the device is no longer viable and should be disposed of/recycled?  </w:t>
            </w:r>
          </w:p>
          <w:p w14:paraId="7B2C1233" w14:textId="77777777" w:rsidR="00257889" w:rsidRPr="00257889" w:rsidRDefault="00257889" w:rsidP="00257889">
            <w:pPr>
              <w:pStyle w:val="CommentText"/>
              <w:spacing w:after="120"/>
              <w:ind w:left="720"/>
              <w:jc w:val="left"/>
              <w:rPr>
                <w:rFonts w:ascii="Calibri" w:hAnsi="Calibri" w:cs="Calibri"/>
                <w:color w:val="0E101A"/>
                <w:sz w:val="8"/>
                <w:szCs w:val="8"/>
              </w:rPr>
            </w:pPr>
          </w:p>
          <w:p w14:paraId="0E77D221" w14:textId="77777777" w:rsidR="006B17C7" w:rsidRPr="00D8247C" w:rsidRDefault="006B17C7" w:rsidP="00B33223">
            <w:pPr>
              <w:pStyle w:val="CommentText"/>
              <w:rPr>
                <w:rFonts w:ascii="Calibri" w:hAnsi="Calibri" w:cs="Calibri"/>
                <w:b/>
                <w:color w:val="0E101A"/>
                <w:sz w:val="22"/>
                <w:szCs w:val="22"/>
              </w:rPr>
            </w:pPr>
            <w:r w:rsidRPr="00D8247C">
              <w:rPr>
                <w:rFonts w:ascii="Calibri" w:hAnsi="Calibri" w:cs="Calibri"/>
                <w:b/>
                <w:color w:val="0E101A"/>
                <w:sz w:val="22"/>
                <w:szCs w:val="22"/>
              </w:rPr>
              <w:lastRenderedPageBreak/>
              <w:t>Relevant information from the Innovation for Health (I</w:t>
            </w:r>
            <w:r>
              <w:rPr>
                <w:rFonts w:ascii="Calibri" w:hAnsi="Calibri" w:cs="Calibri"/>
                <w:b/>
                <w:color w:val="0E101A"/>
                <w:sz w:val="22"/>
                <w:szCs w:val="22"/>
              </w:rPr>
              <w:t>FH) agreement</w:t>
            </w:r>
            <w:r w:rsidRPr="00346ADC">
              <w:rPr>
                <w:rFonts w:ascii="Calibri" w:hAnsi="Calibri" w:cs="Calibri"/>
                <w:color w:val="0E101A"/>
                <w:sz w:val="22"/>
                <w:szCs w:val="22"/>
              </w:rPr>
              <w:t xml:space="preserve"> </w:t>
            </w:r>
          </w:p>
          <w:p w14:paraId="25C4F5FC" w14:textId="77777777" w:rsidR="006B17C7" w:rsidRPr="00346ADC" w:rsidRDefault="006B17C7" w:rsidP="00EB3D05">
            <w:pPr>
              <w:pStyle w:val="CommentText"/>
              <w:jc w:val="left"/>
              <w:rPr>
                <w:rFonts w:ascii="Calibri" w:hAnsi="Calibri" w:cs="Calibri"/>
                <w:color w:val="0E101A"/>
                <w:sz w:val="22"/>
                <w:szCs w:val="22"/>
              </w:rPr>
            </w:pPr>
            <w:r w:rsidRPr="00346ADC">
              <w:rPr>
                <w:rFonts w:ascii="Calibri" w:hAnsi="Calibri" w:cs="Calibri"/>
                <w:color w:val="0E101A"/>
                <w:sz w:val="22"/>
                <w:szCs w:val="22"/>
              </w:rPr>
              <w:t>Device means physical, electrical, or mechanical apparatuses, components, devices, equipment, instruments, samples, specimens, or tools.</w:t>
            </w:r>
          </w:p>
          <w:p w14:paraId="101D8EA7" w14:textId="77777777" w:rsidR="006B17C7" w:rsidRPr="00D8247C" w:rsidRDefault="006B17C7" w:rsidP="00B33223">
            <w:pPr>
              <w:pStyle w:val="CommentText"/>
              <w:jc w:val="left"/>
              <w:rPr>
                <w:rFonts w:ascii="Calibri" w:hAnsi="Calibri" w:cs="Calibri"/>
                <w:color w:val="0E101A"/>
                <w:sz w:val="22"/>
                <w:szCs w:val="22"/>
              </w:rPr>
            </w:pPr>
            <w:r w:rsidRPr="00346ADC">
              <w:rPr>
                <w:rFonts w:ascii="Calibri" w:hAnsi="Calibri" w:cs="Calibri"/>
                <w:color w:val="0E101A"/>
                <w:sz w:val="22"/>
                <w:szCs w:val="22"/>
              </w:rPr>
              <w:t>Any Device(s) exchanged during the conduct of an IFH Project are owned by the providing Party. The transfer of a Device from one Party to the other under the terms of this Agreement shall not affect the providing Party's ownership interest in the Device(s). The recipient Party will maintain all Device(s) so that they are readily identifiable. The recipient Party shall use the Device(s) solely for the research purposes defined in the relevant Project Specification and shall not transfer, deliver, or otherwise release the Device(s) to a third party without the express prior written consent of the providing Party. Upon termination or expiration of a Project Specification, and at the instructions of the providing Party, the recipient Party shall return the Device(s) to the providing Party.  In the event of damage or the failure of one Party to return the Device to the providing Party, the replacement cost of such Device shall be assessed the Party resp</w:t>
            </w:r>
            <w:r>
              <w:rPr>
                <w:rFonts w:ascii="Calibri" w:hAnsi="Calibri" w:cs="Calibri"/>
                <w:color w:val="0E101A"/>
                <w:sz w:val="22"/>
                <w:szCs w:val="22"/>
              </w:rPr>
              <w:t>onsible for the damage or loss.</w:t>
            </w:r>
          </w:p>
        </w:tc>
      </w:tr>
    </w:tbl>
    <w:p w14:paraId="6083E339" w14:textId="70A63397" w:rsidR="00E81BA1" w:rsidRDefault="00E81BA1" w:rsidP="00EB3D05">
      <w:pPr>
        <w:pStyle w:val="Heading4"/>
        <w:keepNext w:val="0"/>
        <w:keepLines w:val="0"/>
        <w:spacing w:before="0" w:line="240" w:lineRule="auto"/>
        <w:ind w:left="720"/>
        <w:rPr>
          <w:rFonts w:ascii="Calibri" w:hAnsi="Calibri" w:cs="Calibri"/>
          <w:i w:val="0"/>
          <w:iCs w:val="0"/>
          <w:color w:val="000000" w:themeColor="text1"/>
        </w:rPr>
      </w:pPr>
    </w:p>
    <w:p w14:paraId="47F765C4" w14:textId="77777777" w:rsidR="00EB3D05" w:rsidRDefault="00EB3D05" w:rsidP="00EB3D05">
      <w:pPr>
        <w:rPr>
          <w:rFonts w:ascii="Calibri" w:hAnsi="Calibri" w:cs="Calibri"/>
          <w:sz w:val="22"/>
          <w:szCs w:val="22"/>
        </w:rPr>
      </w:pPr>
      <w:r w:rsidRPr="00FF7D74">
        <w:rPr>
          <w:rFonts w:ascii="Calibri" w:hAnsi="Calibri" w:cs="Calibri"/>
          <w:b/>
          <w:bCs/>
          <w:i/>
          <w:iCs/>
          <w:color w:val="0E101A"/>
          <w:sz w:val="22"/>
          <w:szCs w:val="22"/>
        </w:rPr>
        <w:t xml:space="preserve">*Publication or Patent Application Costs: </w:t>
      </w:r>
      <w:r w:rsidRPr="00411D15">
        <w:rPr>
          <w:rFonts w:ascii="Calibri" w:hAnsi="Calibri" w:cs="Calibri"/>
          <w:i/>
          <w:iCs/>
          <w:color w:val="000000" w:themeColor="text1"/>
          <w:sz w:val="22"/>
          <w:szCs w:val="22"/>
        </w:rPr>
        <w:t>Please do not include</w:t>
      </w:r>
      <w:r>
        <w:rPr>
          <w:rFonts w:ascii="Calibri" w:hAnsi="Calibri" w:cs="Calibri"/>
          <w:i/>
          <w:iCs/>
          <w:color w:val="000000" w:themeColor="text1"/>
          <w:sz w:val="22"/>
          <w:szCs w:val="22"/>
        </w:rPr>
        <w:t xml:space="preserve"> these expenses</w:t>
      </w:r>
      <w:r w:rsidRPr="00411D15">
        <w:rPr>
          <w:rFonts w:ascii="Calibri" w:hAnsi="Calibri" w:cs="Calibri"/>
          <w:i/>
          <w:iCs/>
          <w:color w:val="000000" w:themeColor="text1"/>
          <w:sz w:val="22"/>
          <w:szCs w:val="22"/>
        </w:rPr>
        <w:t xml:space="preserve"> in the budget</w:t>
      </w:r>
      <w:r w:rsidRPr="00FF7D74">
        <w:rPr>
          <w:rFonts w:ascii="Calibri" w:hAnsi="Calibri" w:cs="Calibri"/>
          <w:i/>
          <w:iCs/>
          <w:color w:val="0E101A"/>
          <w:sz w:val="22"/>
          <w:szCs w:val="22"/>
        </w:rPr>
        <w:t>.</w:t>
      </w:r>
      <w:r w:rsidRPr="00FF7D74">
        <w:rPr>
          <w:rFonts w:ascii="Calibri" w:hAnsi="Calibri" w:cs="Calibri"/>
          <w:color w:val="0E101A"/>
          <w:sz w:val="22"/>
          <w:szCs w:val="22"/>
        </w:rPr>
        <w:t xml:space="preserve"> If funding is needed as the project develops, please contact Dr. John </w:t>
      </w:r>
      <w:proofErr w:type="spellStart"/>
      <w:r w:rsidRPr="00FF7D74">
        <w:rPr>
          <w:rFonts w:ascii="Calibri" w:hAnsi="Calibri" w:cs="Calibri"/>
          <w:color w:val="0E101A"/>
          <w:sz w:val="22"/>
          <w:szCs w:val="22"/>
        </w:rPr>
        <w:t>Vozenilek</w:t>
      </w:r>
      <w:proofErr w:type="spellEnd"/>
      <w:r w:rsidRPr="00FF7D74">
        <w:rPr>
          <w:rFonts w:ascii="Calibri" w:hAnsi="Calibri" w:cs="Calibri"/>
          <w:color w:val="0E101A"/>
          <w:sz w:val="22"/>
          <w:szCs w:val="22"/>
        </w:rPr>
        <w:t xml:space="preserve">, </w:t>
      </w:r>
      <w:r>
        <w:rPr>
          <w:rFonts w:ascii="Calibri" w:hAnsi="Calibri" w:cs="Calibri"/>
          <w:color w:val="000000"/>
          <w:sz w:val="22"/>
          <w:szCs w:val="22"/>
        </w:rPr>
        <w:t xml:space="preserve">Chief Medical Officer, Vice President </w:t>
      </w:r>
      <w:r w:rsidRPr="00FF7D74">
        <w:rPr>
          <w:rFonts w:ascii="Calibri" w:hAnsi="Calibri" w:cs="Calibri"/>
          <w:color w:val="000000"/>
          <w:sz w:val="22"/>
          <w:szCs w:val="22"/>
        </w:rPr>
        <w:t>for Innovation and Digital Health OSF HealthCare System or Dr. Christopher Jones, Vice President for Strategy and Innovation</w:t>
      </w:r>
      <w:r w:rsidRPr="00FF7D74">
        <w:rPr>
          <w:rFonts w:ascii="Calibri" w:hAnsi="Calibri" w:cs="Calibri"/>
          <w:sz w:val="22"/>
          <w:szCs w:val="22"/>
        </w:rPr>
        <w:t xml:space="preserve"> at Bradley University.  </w:t>
      </w:r>
    </w:p>
    <w:p w14:paraId="7907E505" w14:textId="77777777" w:rsidR="00EB3D05" w:rsidRDefault="00EB3D05" w:rsidP="00EB3D05">
      <w:pPr>
        <w:rPr>
          <w:rFonts w:ascii="Calibri" w:hAnsi="Calibri" w:cs="Calibri"/>
          <w:sz w:val="22"/>
          <w:szCs w:val="22"/>
        </w:rPr>
      </w:pPr>
    </w:p>
    <w:p w14:paraId="3EE9E255" w14:textId="77777777" w:rsidR="00EB3D05" w:rsidRDefault="00EB3D05" w:rsidP="00EB3D05">
      <w:pPr>
        <w:rPr>
          <w:rFonts w:ascii="Calibri" w:hAnsi="Calibri" w:cs="Calibri"/>
          <w:b/>
          <w:bCs/>
          <w:i/>
          <w:iCs/>
          <w:color w:val="0E101A"/>
          <w:sz w:val="12"/>
          <w:szCs w:val="12"/>
        </w:rPr>
      </w:pPr>
    </w:p>
    <w:p w14:paraId="0E720A07" w14:textId="77777777" w:rsidR="00EB3D05" w:rsidRPr="00EB3D05" w:rsidRDefault="00EB3D05" w:rsidP="00EB3D05"/>
    <w:sectPr w:rsidR="00EB3D05" w:rsidRPr="00EB3D05" w:rsidSect="000B536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5D9F" w14:textId="77777777" w:rsidR="006D6652" w:rsidRDefault="006D6652" w:rsidP="00E866CB">
      <w:r>
        <w:separator/>
      </w:r>
    </w:p>
  </w:endnote>
  <w:endnote w:type="continuationSeparator" w:id="0">
    <w:p w14:paraId="48FF59EB" w14:textId="77777777" w:rsidR="006D6652" w:rsidRDefault="006D6652" w:rsidP="00E8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3667" w14:textId="77777777" w:rsidR="006D6652" w:rsidRDefault="006D6652" w:rsidP="00E866CB">
      <w:r>
        <w:separator/>
      </w:r>
    </w:p>
  </w:footnote>
  <w:footnote w:type="continuationSeparator" w:id="0">
    <w:p w14:paraId="543DD681" w14:textId="77777777" w:rsidR="006D6652" w:rsidRDefault="006D6652" w:rsidP="00E8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DA7"/>
    <w:multiLevelType w:val="hybridMultilevel"/>
    <w:tmpl w:val="644055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6757EB"/>
    <w:multiLevelType w:val="hybridMultilevel"/>
    <w:tmpl w:val="73EC9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E3A60"/>
    <w:multiLevelType w:val="hybridMultilevel"/>
    <w:tmpl w:val="4C002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3872"/>
    <w:multiLevelType w:val="hybridMultilevel"/>
    <w:tmpl w:val="0D84DF30"/>
    <w:lvl w:ilvl="0" w:tplc="8344703C">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E52B2"/>
    <w:multiLevelType w:val="hybridMultilevel"/>
    <w:tmpl w:val="6E447E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9653B"/>
    <w:multiLevelType w:val="hybridMultilevel"/>
    <w:tmpl w:val="8DF2E1C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5521D9"/>
    <w:multiLevelType w:val="hybridMultilevel"/>
    <w:tmpl w:val="9E8842DA"/>
    <w:lvl w:ilvl="0" w:tplc="FFFFFFFF">
      <w:start w:val="1"/>
      <w:numFmt w:val="upperLetter"/>
      <w:lvlText w:val="%1."/>
      <w:lvlJc w:val="left"/>
      <w:pPr>
        <w:ind w:left="460" w:hanging="360"/>
      </w:pPr>
      <w:rPr>
        <w:rFonts w:ascii="Arial" w:eastAsia="Arial" w:hAnsi="Arial" w:cs="Arial" w:hint="default"/>
        <w:b/>
        <w:bCs/>
        <w:w w:val="87"/>
        <w:sz w:val="32"/>
        <w:szCs w:val="32"/>
        <w:lang w:val="en-US" w:eastAsia="en-US" w:bidi="en-US"/>
      </w:rPr>
    </w:lvl>
    <w:lvl w:ilvl="1" w:tplc="B4B287BC">
      <w:start w:val="1"/>
      <w:numFmt w:val="upperLetter"/>
      <w:pStyle w:val="ListParagraph"/>
      <w:lvlText w:val="%2."/>
      <w:lvlJc w:val="left"/>
      <w:pPr>
        <w:ind w:left="819" w:hanging="360"/>
      </w:pPr>
    </w:lvl>
    <w:lvl w:ilvl="2" w:tplc="FFFFFFFF">
      <w:numFmt w:val="bullet"/>
      <w:lvlText w:val="•"/>
      <w:lvlJc w:val="left"/>
      <w:pPr>
        <w:ind w:left="1953" w:hanging="361"/>
      </w:pPr>
      <w:rPr>
        <w:rFonts w:hint="default"/>
        <w:lang w:val="en-US" w:eastAsia="en-US" w:bidi="en-US"/>
      </w:rPr>
    </w:lvl>
    <w:lvl w:ilvl="3" w:tplc="04090003">
      <w:start w:val="1"/>
      <w:numFmt w:val="bullet"/>
      <w:lvlText w:val="o"/>
      <w:lvlJc w:val="left"/>
      <w:pPr>
        <w:ind w:left="3085" w:hanging="360"/>
      </w:pPr>
      <w:rPr>
        <w:rFonts w:ascii="Courier New" w:hAnsi="Courier New" w:cs="Courier New" w:hint="default"/>
      </w:rPr>
    </w:lvl>
    <w:lvl w:ilvl="4" w:tplc="FFFFFFFF">
      <w:numFmt w:val="bullet"/>
      <w:lvlText w:val="•"/>
      <w:lvlJc w:val="left"/>
      <w:pPr>
        <w:ind w:left="4220" w:hanging="361"/>
      </w:pPr>
      <w:rPr>
        <w:rFonts w:hint="default"/>
        <w:lang w:val="en-US" w:eastAsia="en-US" w:bidi="en-US"/>
      </w:rPr>
    </w:lvl>
    <w:lvl w:ilvl="5" w:tplc="FFFFFFFF">
      <w:numFmt w:val="bullet"/>
      <w:lvlText w:val="•"/>
      <w:lvlJc w:val="left"/>
      <w:pPr>
        <w:ind w:left="5353" w:hanging="361"/>
      </w:pPr>
      <w:rPr>
        <w:rFonts w:hint="default"/>
        <w:lang w:val="en-US" w:eastAsia="en-US" w:bidi="en-US"/>
      </w:rPr>
    </w:lvl>
    <w:lvl w:ilvl="6" w:tplc="FFFFFFFF">
      <w:numFmt w:val="bullet"/>
      <w:lvlText w:val="•"/>
      <w:lvlJc w:val="left"/>
      <w:pPr>
        <w:ind w:left="6486" w:hanging="361"/>
      </w:pPr>
      <w:rPr>
        <w:rFonts w:hint="default"/>
        <w:lang w:val="en-US" w:eastAsia="en-US" w:bidi="en-US"/>
      </w:rPr>
    </w:lvl>
    <w:lvl w:ilvl="7" w:tplc="FFFFFFFF">
      <w:numFmt w:val="bullet"/>
      <w:lvlText w:val="•"/>
      <w:lvlJc w:val="left"/>
      <w:pPr>
        <w:ind w:left="7620" w:hanging="361"/>
      </w:pPr>
      <w:rPr>
        <w:rFonts w:hint="default"/>
        <w:lang w:val="en-US" w:eastAsia="en-US" w:bidi="en-US"/>
      </w:rPr>
    </w:lvl>
    <w:lvl w:ilvl="8" w:tplc="FFFFFFFF">
      <w:numFmt w:val="bullet"/>
      <w:lvlText w:val="•"/>
      <w:lvlJc w:val="left"/>
      <w:pPr>
        <w:ind w:left="8753" w:hanging="361"/>
      </w:pPr>
      <w:rPr>
        <w:rFonts w:hint="default"/>
        <w:lang w:val="en-US" w:eastAsia="en-US" w:bidi="en-US"/>
      </w:rPr>
    </w:lvl>
  </w:abstractNum>
  <w:abstractNum w:abstractNumId="7" w15:restartNumberingAfterBreak="0">
    <w:nsid w:val="23BD3619"/>
    <w:multiLevelType w:val="hybridMultilevel"/>
    <w:tmpl w:val="7FB84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535B6"/>
    <w:multiLevelType w:val="hybridMultilevel"/>
    <w:tmpl w:val="8E6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07B7B"/>
    <w:multiLevelType w:val="hybridMultilevel"/>
    <w:tmpl w:val="E1FAD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C01640"/>
    <w:multiLevelType w:val="hybridMultilevel"/>
    <w:tmpl w:val="B2C0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5462"/>
    <w:multiLevelType w:val="multilevel"/>
    <w:tmpl w:val="058653EA"/>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549C5"/>
    <w:multiLevelType w:val="hybridMultilevel"/>
    <w:tmpl w:val="242E6A80"/>
    <w:lvl w:ilvl="0" w:tplc="27F2E184">
      <w:start w:val="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503A3"/>
    <w:multiLevelType w:val="hybridMultilevel"/>
    <w:tmpl w:val="242E6A80"/>
    <w:lvl w:ilvl="0" w:tplc="FFFFFFFF">
      <w:start w:val="6"/>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9252AB"/>
    <w:multiLevelType w:val="hybridMultilevel"/>
    <w:tmpl w:val="6136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C0358"/>
    <w:multiLevelType w:val="hybridMultilevel"/>
    <w:tmpl w:val="B0BEE0C8"/>
    <w:lvl w:ilvl="0" w:tplc="04090003">
      <w:start w:val="1"/>
      <w:numFmt w:val="bullet"/>
      <w:lvlText w:val="o"/>
      <w:lvlJc w:val="left"/>
      <w:pPr>
        <w:ind w:left="3085" w:hanging="36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9065BB3"/>
    <w:multiLevelType w:val="hybridMultilevel"/>
    <w:tmpl w:val="652E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E7257"/>
    <w:multiLevelType w:val="hybridMultilevel"/>
    <w:tmpl w:val="A6D83F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E4B8D"/>
    <w:multiLevelType w:val="hybridMultilevel"/>
    <w:tmpl w:val="B68CCBEC"/>
    <w:lvl w:ilvl="0" w:tplc="51B277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F623E"/>
    <w:multiLevelType w:val="multilevel"/>
    <w:tmpl w:val="33EE7DB0"/>
    <w:lvl w:ilvl="0">
      <w:start w:val="1"/>
      <w:numFmt w:val="decimal"/>
      <w:lvlText w:val="%1)"/>
      <w:lvlJc w:val="left"/>
      <w:pPr>
        <w:ind w:left="720" w:hanging="360"/>
      </w:pPr>
      <w:rPr>
        <w:rFonts w:hint="default"/>
        <w:color w:val="595959" w:themeColor="text1" w:themeTint="A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0"/>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25244"/>
    <w:multiLevelType w:val="hybridMultilevel"/>
    <w:tmpl w:val="7EE8FF86"/>
    <w:lvl w:ilvl="0" w:tplc="6622A0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10F48"/>
    <w:multiLevelType w:val="hybridMultilevel"/>
    <w:tmpl w:val="0A442AA0"/>
    <w:lvl w:ilvl="0" w:tplc="51B27762">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4D113999"/>
    <w:multiLevelType w:val="hybridMultilevel"/>
    <w:tmpl w:val="1E588828"/>
    <w:lvl w:ilvl="0" w:tplc="0920838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A6ED9"/>
    <w:multiLevelType w:val="hybridMultilevel"/>
    <w:tmpl w:val="5068330A"/>
    <w:lvl w:ilvl="0" w:tplc="6CA8D9D6">
      <w:numFmt w:val="bullet"/>
      <w:lvlText w:val="o"/>
      <w:lvlJc w:val="left"/>
      <w:pPr>
        <w:ind w:left="2250" w:hanging="360"/>
      </w:pPr>
      <w:rPr>
        <w:rFonts w:ascii="Courier New" w:eastAsia="Courier New" w:hAnsi="Courier New" w:cs="Courier New" w:hint="default"/>
        <w:color w:val="auto"/>
        <w:w w:val="100"/>
        <w:sz w:val="24"/>
        <w:szCs w:val="24"/>
        <w:lang w:val="en-US" w:eastAsia="en-US" w:bidi="en-US"/>
      </w:rPr>
    </w:lvl>
    <w:lvl w:ilvl="1" w:tplc="FFFFFFFF" w:tentative="1">
      <w:start w:val="1"/>
      <w:numFmt w:val="bullet"/>
      <w:lvlText w:val="o"/>
      <w:lvlJc w:val="left"/>
      <w:pPr>
        <w:ind w:left="2970" w:hanging="360"/>
      </w:pPr>
      <w:rPr>
        <w:rFonts w:ascii="Courier New" w:hAnsi="Courier New" w:cs="Courier New" w:hint="default"/>
      </w:rPr>
    </w:lvl>
    <w:lvl w:ilvl="2" w:tplc="FFFFFFFF" w:tentative="1">
      <w:start w:val="1"/>
      <w:numFmt w:val="bullet"/>
      <w:lvlText w:val=""/>
      <w:lvlJc w:val="left"/>
      <w:pPr>
        <w:ind w:left="3690" w:hanging="360"/>
      </w:pPr>
      <w:rPr>
        <w:rFonts w:ascii="Wingdings" w:hAnsi="Wingdings" w:hint="default"/>
      </w:rPr>
    </w:lvl>
    <w:lvl w:ilvl="3" w:tplc="FFFFFFFF" w:tentative="1">
      <w:start w:val="1"/>
      <w:numFmt w:val="bullet"/>
      <w:lvlText w:val=""/>
      <w:lvlJc w:val="left"/>
      <w:pPr>
        <w:ind w:left="4410" w:hanging="360"/>
      </w:pPr>
      <w:rPr>
        <w:rFonts w:ascii="Symbol" w:hAnsi="Symbol" w:hint="default"/>
      </w:rPr>
    </w:lvl>
    <w:lvl w:ilvl="4" w:tplc="FFFFFFFF" w:tentative="1">
      <w:start w:val="1"/>
      <w:numFmt w:val="bullet"/>
      <w:lvlText w:val="o"/>
      <w:lvlJc w:val="left"/>
      <w:pPr>
        <w:ind w:left="5130" w:hanging="360"/>
      </w:pPr>
      <w:rPr>
        <w:rFonts w:ascii="Courier New" w:hAnsi="Courier New" w:cs="Courier New" w:hint="default"/>
      </w:rPr>
    </w:lvl>
    <w:lvl w:ilvl="5" w:tplc="FFFFFFFF" w:tentative="1">
      <w:start w:val="1"/>
      <w:numFmt w:val="bullet"/>
      <w:lvlText w:val=""/>
      <w:lvlJc w:val="left"/>
      <w:pPr>
        <w:ind w:left="5850" w:hanging="360"/>
      </w:pPr>
      <w:rPr>
        <w:rFonts w:ascii="Wingdings" w:hAnsi="Wingdings" w:hint="default"/>
      </w:rPr>
    </w:lvl>
    <w:lvl w:ilvl="6" w:tplc="FFFFFFFF" w:tentative="1">
      <w:start w:val="1"/>
      <w:numFmt w:val="bullet"/>
      <w:lvlText w:val=""/>
      <w:lvlJc w:val="left"/>
      <w:pPr>
        <w:ind w:left="6570" w:hanging="360"/>
      </w:pPr>
      <w:rPr>
        <w:rFonts w:ascii="Symbol" w:hAnsi="Symbol" w:hint="default"/>
      </w:rPr>
    </w:lvl>
    <w:lvl w:ilvl="7" w:tplc="FFFFFFFF" w:tentative="1">
      <w:start w:val="1"/>
      <w:numFmt w:val="bullet"/>
      <w:lvlText w:val="o"/>
      <w:lvlJc w:val="left"/>
      <w:pPr>
        <w:ind w:left="7290" w:hanging="360"/>
      </w:pPr>
      <w:rPr>
        <w:rFonts w:ascii="Courier New" w:hAnsi="Courier New" w:cs="Courier New" w:hint="default"/>
      </w:rPr>
    </w:lvl>
    <w:lvl w:ilvl="8" w:tplc="FFFFFFFF" w:tentative="1">
      <w:start w:val="1"/>
      <w:numFmt w:val="bullet"/>
      <w:lvlText w:val=""/>
      <w:lvlJc w:val="left"/>
      <w:pPr>
        <w:ind w:left="8010" w:hanging="360"/>
      </w:pPr>
      <w:rPr>
        <w:rFonts w:ascii="Wingdings" w:hAnsi="Wingdings" w:hint="default"/>
      </w:rPr>
    </w:lvl>
  </w:abstractNum>
  <w:abstractNum w:abstractNumId="24" w15:restartNumberingAfterBreak="0">
    <w:nsid w:val="514D326A"/>
    <w:multiLevelType w:val="hybridMultilevel"/>
    <w:tmpl w:val="A2F4F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B6F56"/>
    <w:multiLevelType w:val="hybridMultilevel"/>
    <w:tmpl w:val="05A4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13E59"/>
    <w:multiLevelType w:val="hybridMultilevel"/>
    <w:tmpl w:val="4306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070AF"/>
    <w:multiLevelType w:val="hybridMultilevel"/>
    <w:tmpl w:val="7AF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5562B"/>
    <w:multiLevelType w:val="hybridMultilevel"/>
    <w:tmpl w:val="757ED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E45771"/>
    <w:multiLevelType w:val="hybridMultilevel"/>
    <w:tmpl w:val="A34659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8F2039"/>
    <w:multiLevelType w:val="hybridMultilevel"/>
    <w:tmpl w:val="A548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5713B"/>
    <w:multiLevelType w:val="hybridMultilevel"/>
    <w:tmpl w:val="5AB89754"/>
    <w:lvl w:ilvl="0" w:tplc="51B27762">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D06E72"/>
    <w:multiLevelType w:val="hybridMultilevel"/>
    <w:tmpl w:val="A6128956"/>
    <w:lvl w:ilvl="0" w:tplc="51B277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93057F"/>
    <w:multiLevelType w:val="hybridMultilevel"/>
    <w:tmpl w:val="26B42D42"/>
    <w:lvl w:ilvl="0" w:tplc="51B277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66083B"/>
    <w:multiLevelType w:val="hybridMultilevel"/>
    <w:tmpl w:val="CA747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B7C2E"/>
    <w:multiLevelType w:val="hybridMultilevel"/>
    <w:tmpl w:val="9E8CE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CF106A"/>
    <w:multiLevelType w:val="hybridMultilevel"/>
    <w:tmpl w:val="D73CC166"/>
    <w:lvl w:ilvl="0" w:tplc="51B277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6159105">
    <w:abstractNumId w:val="6"/>
  </w:num>
  <w:num w:numId="2" w16cid:durableId="1397169891">
    <w:abstractNumId w:val="29"/>
  </w:num>
  <w:num w:numId="3" w16cid:durableId="2145539239">
    <w:abstractNumId w:val="31"/>
  </w:num>
  <w:num w:numId="4" w16cid:durableId="2018147057">
    <w:abstractNumId w:val="21"/>
  </w:num>
  <w:num w:numId="5" w16cid:durableId="706878861">
    <w:abstractNumId w:val="23"/>
  </w:num>
  <w:num w:numId="6" w16cid:durableId="1726836154">
    <w:abstractNumId w:val="8"/>
  </w:num>
  <w:num w:numId="7" w16cid:durableId="2118216054">
    <w:abstractNumId w:val="0"/>
  </w:num>
  <w:num w:numId="8" w16cid:durableId="663506297">
    <w:abstractNumId w:val="2"/>
  </w:num>
  <w:num w:numId="9" w16cid:durableId="1162814173">
    <w:abstractNumId w:val="7"/>
  </w:num>
  <w:num w:numId="10" w16cid:durableId="388000624">
    <w:abstractNumId w:val="14"/>
  </w:num>
  <w:num w:numId="11" w16cid:durableId="1198200954">
    <w:abstractNumId w:val="32"/>
  </w:num>
  <w:num w:numId="12" w16cid:durableId="960917723">
    <w:abstractNumId w:val="10"/>
  </w:num>
  <w:num w:numId="13" w16cid:durableId="1083375676">
    <w:abstractNumId w:val="11"/>
  </w:num>
  <w:num w:numId="14" w16cid:durableId="1190072990">
    <w:abstractNumId w:val="5"/>
  </w:num>
  <w:num w:numId="15" w16cid:durableId="1034303777">
    <w:abstractNumId w:val="27"/>
  </w:num>
  <w:num w:numId="16" w16cid:durableId="1905599070">
    <w:abstractNumId w:val="35"/>
  </w:num>
  <w:num w:numId="17" w16cid:durableId="1601911987">
    <w:abstractNumId w:val="19"/>
  </w:num>
  <w:num w:numId="18" w16cid:durableId="1855146794">
    <w:abstractNumId w:val="16"/>
  </w:num>
  <w:num w:numId="19" w16cid:durableId="263853753">
    <w:abstractNumId w:val="26"/>
  </w:num>
  <w:num w:numId="20" w16cid:durableId="1258322394">
    <w:abstractNumId w:val="24"/>
  </w:num>
  <w:num w:numId="21" w16cid:durableId="403141317">
    <w:abstractNumId w:val="17"/>
  </w:num>
  <w:num w:numId="22" w16cid:durableId="788622001">
    <w:abstractNumId w:val="30"/>
  </w:num>
  <w:num w:numId="23" w16cid:durableId="1185561876">
    <w:abstractNumId w:val="22"/>
  </w:num>
  <w:num w:numId="24" w16cid:durableId="1458330650">
    <w:abstractNumId w:val="18"/>
  </w:num>
  <w:num w:numId="25" w16cid:durableId="312756819">
    <w:abstractNumId w:val="20"/>
  </w:num>
  <w:num w:numId="26" w16cid:durableId="1953049170">
    <w:abstractNumId w:val="33"/>
  </w:num>
  <w:num w:numId="27" w16cid:durableId="2004048382">
    <w:abstractNumId w:val="15"/>
  </w:num>
  <w:num w:numId="28" w16cid:durableId="2111121458">
    <w:abstractNumId w:val="12"/>
  </w:num>
  <w:num w:numId="29" w16cid:durableId="460540293">
    <w:abstractNumId w:val="36"/>
  </w:num>
  <w:num w:numId="30" w16cid:durableId="939025324">
    <w:abstractNumId w:val="34"/>
  </w:num>
  <w:num w:numId="31" w16cid:durableId="613178080">
    <w:abstractNumId w:val="4"/>
  </w:num>
  <w:num w:numId="32" w16cid:durableId="1881281203">
    <w:abstractNumId w:val="25"/>
  </w:num>
  <w:num w:numId="33" w16cid:durableId="1782383792">
    <w:abstractNumId w:val="3"/>
  </w:num>
  <w:num w:numId="34" w16cid:durableId="198788888">
    <w:abstractNumId w:val="9"/>
  </w:num>
  <w:num w:numId="35" w16cid:durableId="1247228226">
    <w:abstractNumId w:val="1"/>
  </w:num>
  <w:num w:numId="36" w16cid:durableId="1621261432">
    <w:abstractNumId w:val="28"/>
  </w:num>
  <w:num w:numId="37" w16cid:durableId="965433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C75"/>
    <w:rsid w:val="00001EFE"/>
    <w:rsid w:val="0001072A"/>
    <w:rsid w:val="000307C0"/>
    <w:rsid w:val="000427D9"/>
    <w:rsid w:val="000434DE"/>
    <w:rsid w:val="000462A2"/>
    <w:rsid w:val="00077B74"/>
    <w:rsid w:val="00086113"/>
    <w:rsid w:val="000B5363"/>
    <w:rsid w:val="00100305"/>
    <w:rsid w:val="00106925"/>
    <w:rsid w:val="001150E8"/>
    <w:rsid w:val="0012190F"/>
    <w:rsid w:val="00126F94"/>
    <w:rsid w:val="001306F4"/>
    <w:rsid w:val="001B3B47"/>
    <w:rsid w:val="001E445D"/>
    <w:rsid w:val="0020726B"/>
    <w:rsid w:val="00220D4A"/>
    <w:rsid w:val="0022191C"/>
    <w:rsid w:val="00221CC3"/>
    <w:rsid w:val="00224185"/>
    <w:rsid w:val="00225705"/>
    <w:rsid w:val="002360E5"/>
    <w:rsid w:val="002378D2"/>
    <w:rsid w:val="002453D2"/>
    <w:rsid w:val="00257889"/>
    <w:rsid w:val="0027442C"/>
    <w:rsid w:val="00282DD9"/>
    <w:rsid w:val="002C209E"/>
    <w:rsid w:val="002D3461"/>
    <w:rsid w:val="002D3C17"/>
    <w:rsid w:val="002E1A39"/>
    <w:rsid w:val="002E1A7C"/>
    <w:rsid w:val="00316AF2"/>
    <w:rsid w:val="00332ED1"/>
    <w:rsid w:val="00343076"/>
    <w:rsid w:val="00346ADC"/>
    <w:rsid w:val="00351AEA"/>
    <w:rsid w:val="00391744"/>
    <w:rsid w:val="003949C4"/>
    <w:rsid w:val="00404807"/>
    <w:rsid w:val="00411D15"/>
    <w:rsid w:val="004304D7"/>
    <w:rsid w:val="00450E71"/>
    <w:rsid w:val="004603B4"/>
    <w:rsid w:val="00472EBB"/>
    <w:rsid w:val="004E3190"/>
    <w:rsid w:val="005205E5"/>
    <w:rsid w:val="00521CCC"/>
    <w:rsid w:val="0053219B"/>
    <w:rsid w:val="005334A9"/>
    <w:rsid w:val="00540D31"/>
    <w:rsid w:val="005A3212"/>
    <w:rsid w:val="005E6446"/>
    <w:rsid w:val="00615E5C"/>
    <w:rsid w:val="00623116"/>
    <w:rsid w:val="0062724E"/>
    <w:rsid w:val="006516DD"/>
    <w:rsid w:val="00661CB0"/>
    <w:rsid w:val="00671AEC"/>
    <w:rsid w:val="006753AF"/>
    <w:rsid w:val="00677BD6"/>
    <w:rsid w:val="006B17C7"/>
    <w:rsid w:val="006B398A"/>
    <w:rsid w:val="006B6496"/>
    <w:rsid w:val="006D174E"/>
    <w:rsid w:val="006D4EC4"/>
    <w:rsid w:val="006D6652"/>
    <w:rsid w:val="006E0E05"/>
    <w:rsid w:val="006E1FF6"/>
    <w:rsid w:val="006F0BDE"/>
    <w:rsid w:val="00742212"/>
    <w:rsid w:val="00781609"/>
    <w:rsid w:val="007C041E"/>
    <w:rsid w:val="007C4A1E"/>
    <w:rsid w:val="007E3AB3"/>
    <w:rsid w:val="00803600"/>
    <w:rsid w:val="008257FD"/>
    <w:rsid w:val="0085648F"/>
    <w:rsid w:val="00860DCE"/>
    <w:rsid w:val="008678B0"/>
    <w:rsid w:val="00874771"/>
    <w:rsid w:val="0089123E"/>
    <w:rsid w:val="00895AA2"/>
    <w:rsid w:val="008B2510"/>
    <w:rsid w:val="008B5996"/>
    <w:rsid w:val="008C7664"/>
    <w:rsid w:val="008C7974"/>
    <w:rsid w:val="008E10F7"/>
    <w:rsid w:val="00907F78"/>
    <w:rsid w:val="00915878"/>
    <w:rsid w:val="00916119"/>
    <w:rsid w:val="0093298B"/>
    <w:rsid w:val="0094501E"/>
    <w:rsid w:val="00951211"/>
    <w:rsid w:val="00952271"/>
    <w:rsid w:val="00992DFE"/>
    <w:rsid w:val="0099716F"/>
    <w:rsid w:val="009A0119"/>
    <w:rsid w:val="009B1C25"/>
    <w:rsid w:val="009C2590"/>
    <w:rsid w:val="009C70ED"/>
    <w:rsid w:val="009C7C75"/>
    <w:rsid w:val="009D5029"/>
    <w:rsid w:val="009F49D3"/>
    <w:rsid w:val="00A03950"/>
    <w:rsid w:val="00A440EF"/>
    <w:rsid w:val="00A608D0"/>
    <w:rsid w:val="00AB2A2F"/>
    <w:rsid w:val="00AC6884"/>
    <w:rsid w:val="00AD1CEE"/>
    <w:rsid w:val="00AE024E"/>
    <w:rsid w:val="00B11A2D"/>
    <w:rsid w:val="00B172B4"/>
    <w:rsid w:val="00B40BB1"/>
    <w:rsid w:val="00B42C91"/>
    <w:rsid w:val="00B5372A"/>
    <w:rsid w:val="00B60038"/>
    <w:rsid w:val="00B615F6"/>
    <w:rsid w:val="00B6684F"/>
    <w:rsid w:val="00B700EB"/>
    <w:rsid w:val="00B9203F"/>
    <w:rsid w:val="00BA2F31"/>
    <w:rsid w:val="00BB4D47"/>
    <w:rsid w:val="00BC6CE3"/>
    <w:rsid w:val="00BD175E"/>
    <w:rsid w:val="00BD5707"/>
    <w:rsid w:val="00BE3831"/>
    <w:rsid w:val="00BF1B1D"/>
    <w:rsid w:val="00BF5882"/>
    <w:rsid w:val="00C066DF"/>
    <w:rsid w:val="00C142DF"/>
    <w:rsid w:val="00C17829"/>
    <w:rsid w:val="00C23545"/>
    <w:rsid w:val="00C3292A"/>
    <w:rsid w:val="00C33383"/>
    <w:rsid w:val="00C54922"/>
    <w:rsid w:val="00C6272A"/>
    <w:rsid w:val="00C67A87"/>
    <w:rsid w:val="00C7598B"/>
    <w:rsid w:val="00C80FE9"/>
    <w:rsid w:val="00C8169D"/>
    <w:rsid w:val="00C847D6"/>
    <w:rsid w:val="00C86F36"/>
    <w:rsid w:val="00CB6ABF"/>
    <w:rsid w:val="00D1748B"/>
    <w:rsid w:val="00D2745A"/>
    <w:rsid w:val="00D32077"/>
    <w:rsid w:val="00D34CD4"/>
    <w:rsid w:val="00D4281A"/>
    <w:rsid w:val="00D461F8"/>
    <w:rsid w:val="00D4739B"/>
    <w:rsid w:val="00D61939"/>
    <w:rsid w:val="00D73154"/>
    <w:rsid w:val="00D8247C"/>
    <w:rsid w:val="00D97CFD"/>
    <w:rsid w:val="00DB247F"/>
    <w:rsid w:val="00DB6046"/>
    <w:rsid w:val="00DD6AD5"/>
    <w:rsid w:val="00E10DC5"/>
    <w:rsid w:val="00E241D7"/>
    <w:rsid w:val="00E520C4"/>
    <w:rsid w:val="00E6452F"/>
    <w:rsid w:val="00E81BA1"/>
    <w:rsid w:val="00E866CB"/>
    <w:rsid w:val="00E94458"/>
    <w:rsid w:val="00EA24C6"/>
    <w:rsid w:val="00EA6635"/>
    <w:rsid w:val="00EB3D05"/>
    <w:rsid w:val="00EE2BE2"/>
    <w:rsid w:val="00EE7ABB"/>
    <w:rsid w:val="00EF792A"/>
    <w:rsid w:val="00F06928"/>
    <w:rsid w:val="00F27CF3"/>
    <w:rsid w:val="00F30DB8"/>
    <w:rsid w:val="00F92EBB"/>
    <w:rsid w:val="00FD0D73"/>
    <w:rsid w:val="00FD3948"/>
    <w:rsid w:val="00FD482C"/>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FC26"/>
  <w15:chartTrackingRefBased/>
  <w15:docId w15:val="{5578C3A5-FD45-480C-8325-2D2255F4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3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2745A"/>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D2745A"/>
    <w:pPr>
      <w:widowControl w:val="0"/>
      <w:autoSpaceDE w:val="0"/>
      <w:autoSpaceDN w:val="0"/>
      <w:spacing w:before="55"/>
      <w:outlineLvl w:val="2"/>
    </w:pPr>
    <w:rPr>
      <w:rFonts w:ascii="Arial" w:eastAsia="Arial" w:hAnsi="Arial" w:cs="Arial"/>
      <w:b/>
      <w:bCs/>
      <w:lang w:bidi="en-US"/>
    </w:rPr>
  </w:style>
  <w:style w:type="paragraph" w:styleId="Heading4">
    <w:name w:val="heading 4"/>
    <w:basedOn w:val="Normal"/>
    <w:next w:val="Normal"/>
    <w:link w:val="Heading4Char"/>
    <w:uiPriority w:val="9"/>
    <w:unhideWhenUsed/>
    <w:qFormat/>
    <w:rsid w:val="00D2745A"/>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rsid w:val="005334A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7C75"/>
    <w:pPr>
      <w:widowControl w:val="0"/>
      <w:numPr>
        <w:ilvl w:val="1"/>
        <w:numId w:val="1"/>
      </w:numPr>
      <w:autoSpaceDE w:val="0"/>
      <w:autoSpaceDN w:val="0"/>
      <w:ind w:left="1350" w:hanging="630"/>
    </w:pPr>
    <w:rPr>
      <w:rFonts w:ascii="Calibri" w:eastAsiaTheme="minorHAnsi" w:hAnsi="Calibri" w:cs="Calibri"/>
      <w:bCs/>
      <w:sz w:val="22"/>
      <w:szCs w:val="22"/>
    </w:rPr>
  </w:style>
  <w:style w:type="character" w:styleId="CommentReference">
    <w:name w:val="annotation reference"/>
    <w:basedOn w:val="DefaultParagraphFont"/>
    <w:uiPriority w:val="99"/>
    <w:semiHidden/>
    <w:unhideWhenUsed/>
    <w:rsid w:val="009C7C75"/>
    <w:rPr>
      <w:sz w:val="16"/>
      <w:szCs w:val="16"/>
    </w:rPr>
  </w:style>
  <w:style w:type="paragraph" w:styleId="CommentText">
    <w:name w:val="annotation text"/>
    <w:basedOn w:val="Normal"/>
    <w:link w:val="CommentTextChar"/>
    <w:uiPriority w:val="99"/>
    <w:unhideWhenUsed/>
    <w:rsid w:val="009C7C7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C7C75"/>
    <w:rPr>
      <w:sz w:val="20"/>
      <w:szCs w:val="20"/>
    </w:rPr>
  </w:style>
  <w:style w:type="character" w:styleId="Hyperlink">
    <w:name w:val="Hyperlink"/>
    <w:basedOn w:val="DefaultParagraphFont"/>
    <w:uiPriority w:val="99"/>
    <w:unhideWhenUsed/>
    <w:rsid w:val="009C7C75"/>
    <w:rPr>
      <w:color w:val="0563C1" w:themeColor="hyperlink"/>
      <w:u w:val="single"/>
    </w:rPr>
  </w:style>
  <w:style w:type="paragraph" w:styleId="BalloonText">
    <w:name w:val="Balloon Text"/>
    <w:basedOn w:val="Normal"/>
    <w:link w:val="BalloonTextChar"/>
    <w:uiPriority w:val="99"/>
    <w:semiHidden/>
    <w:unhideWhenUsed/>
    <w:rsid w:val="009C7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C7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C7C75"/>
    <w:rPr>
      <w:color w:val="954F72" w:themeColor="followedHyperlink"/>
      <w:u w:val="single"/>
    </w:rPr>
  </w:style>
  <w:style w:type="character" w:customStyle="1" w:styleId="Heading2Char">
    <w:name w:val="Heading 2 Char"/>
    <w:basedOn w:val="DefaultParagraphFont"/>
    <w:link w:val="Heading2"/>
    <w:uiPriority w:val="9"/>
    <w:rsid w:val="00D274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745A"/>
    <w:rPr>
      <w:rFonts w:ascii="Arial" w:eastAsia="Arial" w:hAnsi="Arial" w:cs="Arial"/>
      <w:b/>
      <w:bCs/>
      <w:sz w:val="24"/>
      <w:szCs w:val="24"/>
      <w:lang w:bidi="en-US"/>
    </w:rPr>
  </w:style>
  <w:style w:type="character" w:customStyle="1" w:styleId="Heading4Char">
    <w:name w:val="Heading 4 Char"/>
    <w:basedOn w:val="DefaultParagraphFont"/>
    <w:link w:val="Heading4"/>
    <w:uiPriority w:val="9"/>
    <w:rsid w:val="00D2745A"/>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D2745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745A"/>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D2745A"/>
    <w:rPr>
      <w:rFonts w:ascii="Arial" w:eastAsia="Arial" w:hAnsi="Arial" w:cs="Arial"/>
      <w:sz w:val="24"/>
      <w:szCs w:val="24"/>
      <w:lang w:bidi="en-US"/>
    </w:rPr>
  </w:style>
  <w:style w:type="paragraph" w:styleId="Revision">
    <w:name w:val="Revision"/>
    <w:hidden/>
    <w:uiPriority w:val="99"/>
    <w:semiHidden/>
    <w:rsid w:val="00B42C91"/>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42C9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42C91"/>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26F94"/>
    <w:rPr>
      <w:color w:val="605E5C"/>
      <w:shd w:val="clear" w:color="auto" w:fill="E1DFDD"/>
    </w:rPr>
  </w:style>
  <w:style w:type="character" w:customStyle="1" w:styleId="Heading5Char">
    <w:name w:val="Heading 5 Char"/>
    <w:basedOn w:val="DefaultParagraphFont"/>
    <w:link w:val="Heading5"/>
    <w:uiPriority w:val="9"/>
    <w:rsid w:val="005334A9"/>
    <w:rPr>
      <w:rFonts w:asciiTheme="majorHAnsi" w:eastAsiaTheme="majorEastAsia" w:hAnsiTheme="majorHAnsi" w:cstheme="majorBidi"/>
      <w:color w:val="2E74B5" w:themeColor="accent1" w:themeShade="BF"/>
      <w:sz w:val="24"/>
      <w:szCs w:val="24"/>
    </w:rPr>
  </w:style>
  <w:style w:type="character" w:styleId="Emphasis">
    <w:name w:val="Emphasis"/>
    <w:basedOn w:val="DefaultParagraphFont"/>
    <w:uiPriority w:val="20"/>
    <w:qFormat/>
    <w:rsid w:val="0020726B"/>
    <w:rPr>
      <w:i/>
      <w:iCs/>
    </w:rPr>
  </w:style>
  <w:style w:type="character" w:styleId="Strong">
    <w:name w:val="Strong"/>
    <w:basedOn w:val="DefaultParagraphFont"/>
    <w:uiPriority w:val="22"/>
    <w:qFormat/>
    <w:rsid w:val="0020726B"/>
    <w:rPr>
      <w:b/>
      <w:bCs/>
    </w:rPr>
  </w:style>
  <w:style w:type="paragraph" w:styleId="Header">
    <w:name w:val="header"/>
    <w:basedOn w:val="Normal"/>
    <w:link w:val="HeaderChar"/>
    <w:uiPriority w:val="99"/>
    <w:unhideWhenUsed/>
    <w:rsid w:val="00E866CB"/>
    <w:pPr>
      <w:tabs>
        <w:tab w:val="center" w:pos="4680"/>
        <w:tab w:val="right" w:pos="9360"/>
      </w:tabs>
    </w:pPr>
  </w:style>
  <w:style w:type="character" w:customStyle="1" w:styleId="HeaderChar">
    <w:name w:val="Header Char"/>
    <w:basedOn w:val="DefaultParagraphFont"/>
    <w:link w:val="Header"/>
    <w:uiPriority w:val="99"/>
    <w:rsid w:val="00E866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6CB"/>
    <w:pPr>
      <w:tabs>
        <w:tab w:val="center" w:pos="4680"/>
        <w:tab w:val="right" w:pos="9360"/>
      </w:tabs>
    </w:pPr>
  </w:style>
  <w:style w:type="character" w:customStyle="1" w:styleId="FooterChar">
    <w:name w:val="Footer Char"/>
    <w:basedOn w:val="DefaultParagraphFont"/>
    <w:link w:val="Footer"/>
    <w:uiPriority w:val="99"/>
    <w:rsid w:val="00E866CB"/>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F0BDE"/>
    <w:rPr>
      <w:color w:val="605E5C"/>
      <w:shd w:val="clear" w:color="auto" w:fill="E1DFDD"/>
    </w:rPr>
  </w:style>
  <w:style w:type="paragraph" w:styleId="NormalWeb">
    <w:name w:val="Normal (Web)"/>
    <w:basedOn w:val="Normal"/>
    <w:uiPriority w:val="99"/>
    <w:unhideWhenUsed/>
    <w:rsid w:val="00F30DB8"/>
    <w:pPr>
      <w:spacing w:before="100" w:beforeAutospacing="1" w:after="100" w:afterAutospacing="1"/>
    </w:pPr>
  </w:style>
  <w:style w:type="character" w:styleId="UnresolvedMention">
    <w:name w:val="Unresolved Mention"/>
    <w:basedOn w:val="DefaultParagraphFont"/>
    <w:uiPriority w:val="99"/>
    <w:semiHidden/>
    <w:unhideWhenUsed/>
    <w:rsid w:val="00042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000">
      <w:bodyDiv w:val="1"/>
      <w:marLeft w:val="0"/>
      <w:marRight w:val="0"/>
      <w:marTop w:val="0"/>
      <w:marBottom w:val="0"/>
      <w:divBdr>
        <w:top w:val="none" w:sz="0" w:space="0" w:color="auto"/>
        <w:left w:val="none" w:sz="0" w:space="0" w:color="auto"/>
        <w:bottom w:val="none" w:sz="0" w:space="0" w:color="auto"/>
        <w:right w:val="none" w:sz="0" w:space="0" w:color="auto"/>
      </w:divBdr>
    </w:div>
    <w:div w:id="688139644">
      <w:bodyDiv w:val="1"/>
      <w:marLeft w:val="0"/>
      <w:marRight w:val="0"/>
      <w:marTop w:val="0"/>
      <w:marBottom w:val="0"/>
      <w:divBdr>
        <w:top w:val="none" w:sz="0" w:space="0" w:color="auto"/>
        <w:left w:val="none" w:sz="0" w:space="0" w:color="auto"/>
        <w:bottom w:val="none" w:sz="0" w:space="0" w:color="auto"/>
        <w:right w:val="none" w:sz="0" w:space="0" w:color="auto"/>
      </w:divBdr>
    </w:div>
    <w:div w:id="951592578">
      <w:bodyDiv w:val="1"/>
      <w:marLeft w:val="0"/>
      <w:marRight w:val="0"/>
      <w:marTop w:val="0"/>
      <w:marBottom w:val="0"/>
      <w:divBdr>
        <w:top w:val="none" w:sz="0" w:space="0" w:color="auto"/>
        <w:left w:val="none" w:sz="0" w:space="0" w:color="auto"/>
        <w:bottom w:val="none" w:sz="0" w:space="0" w:color="auto"/>
        <w:right w:val="none" w:sz="0" w:space="0" w:color="auto"/>
      </w:divBdr>
      <w:divsChild>
        <w:div w:id="1048840096">
          <w:marLeft w:val="0"/>
          <w:marRight w:val="0"/>
          <w:marTop w:val="0"/>
          <w:marBottom w:val="0"/>
          <w:divBdr>
            <w:top w:val="none" w:sz="0" w:space="0" w:color="auto"/>
            <w:left w:val="none" w:sz="0" w:space="0" w:color="auto"/>
            <w:bottom w:val="none" w:sz="0" w:space="0" w:color="auto"/>
            <w:right w:val="none" w:sz="0" w:space="0" w:color="auto"/>
          </w:divBdr>
        </w:div>
        <w:div w:id="360713402">
          <w:marLeft w:val="0"/>
          <w:marRight w:val="0"/>
          <w:marTop w:val="0"/>
          <w:marBottom w:val="0"/>
          <w:divBdr>
            <w:top w:val="none" w:sz="0" w:space="0" w:color="auto"/>
            <w:left w:val="none" w:sz="0" w:space="0" w:color="auto"/>
            <w:bottom w:val="none" w:sz="0" w:space="0" w:color="auto"/>
            <w:right w:val="none" w:sz="0" w:space="0" w:color="auto"/>
          </w:divBdr>
        </w:div>
      </w:divsChild>
    </w:div>
    <w:div w:id="967051730">
      <w:bodyDiv w:val="1"/>
      <w:marLeft w:val="0"/>
      <w:marRight w:val="0"/>
      <w:marTop w:val="0"/>
      <w:marBottom w:val="0"/>
      <w:divBdr>
        <w:top w:val="none" w:sz="0" w:space="0" w:color="auto"/>
        <w:left w:val="none" w:sz="0" w:space="0" w:color="auto"/>
        <w:bottom w:val="none" w:sz="0" w:space="0" w:color="auto"/>
        <w:right w:val="none" w:sz="0" w:space="0" w:color="auto"/>
      </w:divBdr>
    </w:div>
    <w:div w:id="1068570866">
      <w:bodyDiv w:val="1"/>
      <w:marLeft w:val="0"/>
      <w:marRight w:val="0"/>
      <w:marTop w:val="0"/>
      <w:marBottom w:val="0"/>
      <w:divBdr>
        <w:top w:val="none" w:sz="0" w:space="0" w:color="auto"/>
        <w:left w:val="none" w:sz="0" w:space="0" w:color="auto"/>
        <w:bottom w:val="none" w:sz="0" w:space="0" w:color="auto"/>
        <w:right w:val="none" w:sz="0" w:space="0" w:color="auto"/>
      </w:divBdr>
    </w:div>
    <w:div w:id="1197498403">
      <w:bodyDiv w:val="1"/>
      <w:marLeft w:val="0"/>
      <w:marRight w:val="0"/>
      <w:marTop w:val="0"/>
      <w:marBottom w:val="0"/>
      <w:divBdr>
        <w:top w:val="none" w:sz="0" w:space="0" w:color="auto"/>
        <w:left w:val="none" w:sz="0" w:space="0" w:color="auto"/>
        <w:bottom w:val="none" w:sz="0" w:space="0" w:color="auto"/>
        <w:right w:val="none" w:sz="0" w:space="0" w:color="auto"/>
      </w:divBdr>
    </w:div>
    <w:div w:id="1438676994">
      <w:bodyDiv w:val="1"/>
      <w:marLeft w:val="0"/>
      <w:marRight w:val="0"/>
      <w:marTop w:val="0"/>
      <w:marBottom w:val="0"/>
      <w:divBdr>
        <w:top w:val="none" w:sz="0" w:space="0" w:color="auto"/>
        <w:left w:val="none" w:sz="0" w:space="0" w:color="auto"/>
        <w:bottom w:val="none" w:sz="0" w:space="0" w:color="auto"/>
        <w:right w:val="none" w:sz="0" w:space="0" w:color="auto"/>
      </w:divBdr>
    </w:div>
    <w:div w:id="1535652744">
      <w:bodyDiv w:val="1"/>
      <w:marLeft w:val="0"/>
      <w:marRight w:val="0"/>
      <w:marTop w:val="0"/>
      <w:marBottom w:val="0"/>
      <w:divBdr>
        <w:top w:val="none" w:sz="0" w:space="0" w:color="auto"/>
        <w:left w:val="none" w:sz="0" w:space="0" w:color="auto"/>
        <w:bottom w:val="none" w:sz="0" w:space="0" w:color="auto"/>
        <w:right w:val="none" w:sz="0" w:space="0" w:color="auto"/>
      </w:divBdr>
    </w:div>
    <w:div w:id="18394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ley.edu/academic/cio/senate/assets/docs/Faculty_Handbook.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adley.edu/offices/business/human-resources/assets/documents/ExemptEmployee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0D68B1-93EC-F24D-BCE6-860DEAD00C1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30EE5-CC54-45E7-9781-60E51AC6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Megan N.</dc:creator>
  <cp:keywords/>
  <dc:description/>
  <cp:lastModifiedBy>Brad Andersh</cp:lastModifiedBy>
  <cp:revision>3</cp:revision>
  <dcterms:created xsi:type="dcterms:W3CDTF">2024-05-13T22:37:00Z</dcterms:created>
  <dcterms:modified xsi:type="dcterms:W3CDTF">2024-05-13T22:40:00Z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documentId_5268</vt:lpwstr>
  </property>
  <property fmtid="{D5CDD505-2E9C-101B-9397-08002B2CF9AE}" pid="3" name="grammarly_documentContext">
    <vt:lpwstr>{"goals":[],"domain":"general","emotions":[],"dialect":"american"}</vt:lpwstr>
  </property>
</Properties>
</file>